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2B" w:rsidRPr="009D682B" w:rsidRDefault="009D682B" w:rsidP="009D682B">
      <w:pPr>
        <w:spacing w:after="0"/>
        <w:jc w:val="center"/>
        <w:rPr>
          <w:rFonts w:cs="Times New Roman"/>
          <w:b/>
          <w:sz w:val="26"/>
          <w:szCs w:val="26"/>
        </w:rPr>
      </w:pPr>
      <w:bookmarkStart w:id="0" w:name="_GoBack"/>
      <w:bookmarkEnd w:id="0"/>
      <w:r w:rsidRPr="009D682B">
        <w:rPr>
          <w:rFonts w:cs="Times New Roman"/>
          <w:b/>
          <w:sz w:val="26"/>
          <w:szCs w:val="26"/>
        </w:rPr>
        <w:t>ПРОГРАММА</w:t>
      </w:r>
    </w:p>
    <w:p w:rsidR="009D682B" w:rsidRDefault="009D682B" w:rsidP="009D682B">
      <w:pPr>
        <w:spacing w:after="0"/>
        <w:jc w:val="center"/>
        <w:rPr>
          <w:rFonts w:cs="Times New Roman"/>
          <w:sz w:val="26"/>
          <w:szCs w:val="26"/>
        </w:rPr>
      </w:pPr>
      <w:r w:rsidRPr="009D682B">
        <w:rPr>
          <w:rFonts w:cs="Times New Roman"/>
          <w:sz w:val="26"/>
          <w:szCs w:val="26"/>
        </w:rPr>
        <w:t xml:space="preserve">кандидата на должность ректора </w:t>
      </w:r>
    </w:p>
    <w:p w:rsidR="009D682B" w:rsidRDefault="009D682B" w:rsidP="009D682B">
      <w:pPr>
        <w:spacing w:after="0"/>
        <w:jc w:val="center"/>
        <w:rPr>
          <w:rFonts w:cs="Times New Roman"/>
          <w:sz w:val="26"/>
          <w:szCs w:val="26"/>
        </w:rPr>
      </w:pPr>
      <w:r w:rsidRPr="009D682B">
        <w:rPr>
          <w:rFonts w:cs="Times New Roman"/>
          <w:sz w:val="26"/>
          <w:szCs w:val="26"/>
        </w:rPr>
        <w:t>Чувашского государственного педагогического университета им. И. Я. Яковлева</w:t>
      </w:r>
    </w:p>
    <w:p w:rsidR="009D682B" w:rsidRPr="009D682B" w:rsidRDefault="009D682B" w:rsidP="009D682B">
      <w:pPr>
        <w:spacing w:after="0"/>
        <w:jc w:val="center"/>
        <w:rPr>
          <w:rFonts w:cs="Times New Roman"/>
          <w:b/>
          <w:sz w:val="26"/>
          <w:szCs w:val="26"/>
        </w:rPr>
      </w:pPr>
      <w:r w:rsidRPr="009D682B">
        <w:rPr>
          <w:rFonts w:cs="Times New Roman"/>
          <w:b/>
          <w:sz w:val="26"/>
          <w:szCs w:val="26"/>
        </w:rPr>
        <w:t>Ильиной Екатерины Анатольевны</w:t>
      </w:r>
    </w:p>
    <w:p w:rsidR="009B69E9" w:rsidRPr="009D682B" w:rsidRDefault="009B69E9" w:rsidP="009D682B">
      <w:pPr>
        <w:spacing w:after="0"/>
        <w:contextualSpacing/>
        <w:jc w:val="center"/>
        <w:rPr>
          <w:rFonts w:cs="Times New Roman"/>
          <w:b/>
          <w:bCs/>
          <w:color w:val="000000"/>
          <w:sz w:val="26"/>
          <w:szCs w:val="26"/>
        </w:rPr>
      </w:pP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Миссия Чувашского государственного педагогического университета </w:t>
      </w:r>
      <w:r w:rsidR="009D682B">
        <w:rPr>
          <w:rFonts w:cs="Times New Roman"/>
          <w:noProof/>
          <w:sz w:val="26"/>
          <w:szCs w:val="26"/>
        </w:rPr>
        <w:br/>
      </w:r>
      <w:r w:rsidRPr="009D682B">
        <w:rPr>
          <w:rFonts w:cs="Times New Roman"/>
          <w:noProof/>
          <w:sz w:val="26"/>
          <w:szCs w:val="26"/>
        </w:rPr>
        <w:t>им. И.Я. Яковлева заключается в эффективной подготовке конкурентоспособных профессиональных кадров с приоритетом в области педагогического образования на основе сложившихся традиций, реализации научно-исследовательского и воспитательного потенциала коллектива, взаимодействия с профессиональным образовательным сообществом в соответствии с национальными целями и стратегическими задачами развития Российской Федерации и социально-экономической политики Чувашской Республики.</w:t>
      </w:r>
    </w:p>
    <w:p w:rsidR="009B69E9" w:rsidRPr="009D682B" w:rsidRDefault="009B69E9" w:rsidP="009D682B">
      <w:pPr>
        <w:pStyle w:val="2"/>
        <w:tabs>
          <w:tab w:val="left" w:pos="993"/>
          <w:tab w:val="left" w:pos="1276"/>
        </w:tabs>
        <w:spacing w:before="0" w:line="240" w:lineRule="auto"/>
        <w:ind w:left="0" w:firstLine="709"/>
        <w:contextualSpacing/>
        <w:jc w:val="both"/>
        <w:rPr>
          <w:i w:val="0"/>
          <w:noProof/>
          <w:color w:val="auto"/>
          <w:sz w:val="26"/>
        </w:rPr>
      </w:pPr>
      <w:bookmarkStart w:id="1" w:name="_Toc65137697"/>
      <w:bookmarkStart w:id="2" w:name="_Toc123048167"/>
      <w:r w:rsidRPr="009D682B">
        <w:rPr>
          <w:i w:val="0"/>
          <w:noProof/>
          <w:color w:val="auto"/>
          <w:sz w:val="26"/>
        </w:rPr>
        <w:t>Стратегическая  цел</w:t>
      </w:r>
      <w:bookmarkEnd w:id="1"/>
      <w:r w:rsidRPr="009D682B">
        <w:rPr>
          <w:i w:val="0"/>
          <w:noProof/>
          <w:color w:val="auto"/>
          <w:sz w:val="26"/>
        </w:rPr>
        <w:t>ь</w:t>
      </w:r>
      <w:bookmarkEnd w:id="2"/>
      <w:r w:rsidRPr="009D682B">
        <w:rPr>
          <w:i w:val="0"/>
          <w:noProof/>
          <w:color w:val="auto"/>
          <w:sz w:val="26"/>
        </w:rPr>
        <w:t xml:space="preserve"> – способствовать формированию кадрового потенциала Российской Федерации и Чувашской Республики, обновлению российской системы общего образования в целях достижения национальных приоритетов развития: </w:t>
      </w:r>
    </w:p>
    <w:p w:rsidR="009B69E9" w:rsidRPr="009D682B" w:rsidRDefault="009B69E9" w:rsidP="009D682B">
      <w:pPr>
        <w:numPr>
          <w:ilvl w:val="0"/>
          <w:numId w:val="4"/>
        </w:numPr>
        <w:tabs>
          <w:tab w:val="left" w:pos="142"/>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w:t>
      </w:r>
    </w:p>
    <w:p w:rsidR="009B69E9" w:rsidRPr="009D682B" w:rsidRDefault="009B69E9" w:rsidP="009D682B">
      <w:pPr>
        <w:numPr>
          <w:ilvl w:val="0"/>
          <w:numId w:val="4"/>
        </w:numPr>
        <w:tabs>
          <w:tab w:val="left" w:pos="142"/>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B69E9" w:rsidRPr="009D682B" w:rsidRDefault="009B69E9" w:rsidP="009D682B">
      <w:pPr>
        <w:pStyle w:val="2"/>
        <w:tabs>
          <w:tab w:val="left" w:pos="993"/>
          <w:tab w:val="left" w:pos="1276"/>
        </w:tabs>
        <w:spacing w:before="0" w:line="240" w:lineRule="auto"/>
        <w:ind w:left="0" w:firstLine="709"/>
        <w:contextualSpacing/>
        <w:jc w:val="both"/>
        <w:rPr>
          <w:i w:val="0"/>
          <w:noProof/>
          <w:color w:val="auto"/>
          <w:sz w:val="26"/>
        </w:rPr>
      </w:pPr>
      <w:bookmarkStart w:id="3" w:name="_Toc123048168"/>
      <w:r w:rsidRPr="009D682B">
        <w:rPr>
          <w:i w:val="0"/>
          <w:noProof/>
          <w:color w:val="auto"/>
          <w:sz w:val="26"/>
        </w:rPr>
        <w:t>Целевая модель</w:t>
      </w:r>
      <w:bookmarkEnd w:id="3"/>
      <w:r w:rsidRPr="009D682B">
        <w:rPr>
          <w:i w:val="0"/>
          <w:noProof/>
          <w:color w:val="auto"/>
          <w:sz w:val="26"/>
        </w:rPr>
        <w:t>:</w:t>
      </w:r>
    </w:p>
    <w:p w:rsidR="009B69E9" w:rsidRPr="009D682B" w:rsidRDefault="00142E4B" w:rsidP="009D682B">
      <w:pPr>
        <w:numPr>
          <w:ilvl w:val="0"/>
          <w:numId w:val="2"/>
        </w:numPr>
        <w:tabs>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 </w:t>
      </w:r>
      <w:r w:rsidR="009B69E9" w:rsidRPr="009D682B">
        <w:rPr>
          <w:rFonts w:cs="Times New Roman"/>
          <w:noProof/>
          <w:sz w:val="26"/>
          <w:szCs w:val="26"/>
        </w:rPr>
        <w:t>Совершенствование организации образовательного процесса с позиций расширения возможностей для реализации человеческого потенциала:</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обновление системы подготовки высокопрофессиональных педагогических кадров, переподготовки и повышения квалификации педагогических работников, направленное на решение национальных целей, научно-образова-тельных и социально-культурных задач, отвечающих требованиям системной </w:t>
      </w:r>
      <w:r w:rsidRPr="009D682B">
        <w:rPr>
          <w:rFonts w:cs="Times New Roman"/>
          <w:noProof/>
          <w:spacing w:val="2"/>
          <w:sz w:val="26"/>
          <w:szCs w:val="26"/>
        </w:rPr>
        <w:t>трансформации современного общества, предусматривающей включенность в процесс</w:t>
      </w:r>
      <w:r w:rsidRPr="009D682B">
        <w:rPr>
          <w:rFonts w:cs="Times New Roman"/>
          <w:noProof/>
          <w:sz w:val="26"/>
          <w:szCs w:val="26"/>
        </w:rPr>
        <w:t xml:space="preserve"> всех участников системы непрерывного педагогического образования и их ответственность за образовательный результат;</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развитие цифровой образовательной среды университета, включающей освоение инновационных образовательных технологий; </w:t>
      </w:r>
    </w:p>
    <w:p w:rsidR="009B69E9" w:rsidRPr="009D682B" w:rsidRDefault="009B69E9" w:rsidP="009D682B">
      <w:pPr>
        <w:numPr>
          <w:ilvl w:val="0"/>
          <w:numId w:val="1"/>
        </w:numPr>
        <w:tabs>
          <w:tab w:val="clear" w:pos="786"/>
          <w:tab w:val="num" w:pos="426"/>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создание условий для сопровождения педагогически одаренной молодежи, способствующих своевременному и осознанному выбору педагогической профессии, получению профессионального педагогического образования и последующему трудоустройству с учетом потребностей региона;</w:t>
      </w:r>
    </w:p>
    <w:p w:rsidR="009B69E9" w:rsidRPr="009D682B" w:rsidRDefault="009B69E9" w:rsidP="009D682B">
      <w:pPr>
        <w:numPr>
          <w:ilvl w:val="0"/>
          <w:numId w:val="1"/>
        </w:numPr>
        <w:tabs>
          <w:tab w:val="clear" w:pos="786"/>
          <w:tab w:val="num" w:pos="426"/>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развитие института педагогического наставничества, системы стажировок для молодых специалистов и выпускников с целью передачи положительного педагогического опыта, распространения лучших практик и инновационных разработок.</w:t>
      </w:r>
    </w:p>
    <w:p w:rsidR="009B69E9" w:rsidRPr="009D682B" w:rsidRDefault="00142E4B" w:rsidP="009D682B">
      <w:pPr>
        <w:numPr>
          <w:ilvl w:val="0"/>
          <w:numId w:val="2"/>
        </w:numPr>
        <w:tabs>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 </w:t>
      </w:r>
      <w:r w:rsidR="009B69E9" w:rsidRPr="009D682B">
        <w:rPr>
          <w:rFonts w:cs="Times New Roman"/>
          <w:noProof/>
          <w:sz w:val="26"/>
          <w:szCs w:val="26"/>
        </w:rPr>
        <w:t>Развитие благоприятной исследовательской среды, обеспечивающей результативное участие преподавателей, научных работников и обучающихся:</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повышение качества научных разработок, направленных на реализацию национальных проектов «Образование» и «Наука и университеты»;</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lastRenderedPageBreak/>
        <w:t>участие в реализации единой федеральной повестки междисциплинарных фундаментальных и прикладных научных исследований по актуальным проблемам образования.</w:t>
      </w:r>
    </w:p>
    <w:p w:rsidR="009B69E9" w:rsidRPr="009D682B" w:rsidRDefault="00142E4B" w:rsidP="009D682B">
      <w:pPr>
        <w:numPr>
          <w:ilvl w:val="0"/>
          <w:numId w:val="2"/>
        </w:numPr>
        <w:tabs>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 </w:t>
      </w:r>
      <w:r w:rsidR="009B69E9" w:rsidRPr="009D682B">
        <w:rPr>
          <w:rFonts w:cs="Times New Roman"/>
          <w:noProof/>
          <w:sz w:val="26"/>
          <w:szCs w:val="26"/>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становлении:</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развитие воспитательного компонента профессиональной подготовки педагога;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поддержка молодежных инициатив и проектов, волонтерства и добровольчества.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Для достижения целевой модели коллективу университета предстоит решить следующие стратегические </w:t>
      </w:r>
      <w:r w:rsidRPr="009D682B">
        <w:rPr>
          <w:rFonts w:cs="Times New Roman"/>
          <w:b/>
          <w:noProof/>
          <w:sz w:val="26"/>
          <w:szCs w:val="26"/>
        </w:rPr>
        <w:t>задачи</w:t>
      </w:r>
      <w:r w:rsidRPr="009D682B">
        <w:rPr>
          <w:rFonts w:cs="Times New Roman"/>
          <w:noProof/>
          <w:sz w:val="26"/>
          <w:szCs w:val="26"/>
        </w:rPr>
        <w:t>.</w:t>
      </w:r>
    </w:p>
    <w:p w:rsidR="009B69E9" w:rsidRPr="009D682B" w:rsidRDefault="009B69E9" w:rsidP="009D682B">
      <w:pPr>
        <w:tabs>
          <w:tab w:val="left" w:pos="993"/>
          <w:tab w:val="left" w:pos="1276"/>
        </w:tabs>
        <w:spacing w:after="0"/>
        <w:ind w:firstLine="709"/>
        <w:contextualSpacing/>
        <w:jc w:val="both"/>
        <w:rPr>
          <w:rFonts w:cs="Times New Roman"/>
          <w:b/>
          <w:noProof/>
          <w:sz w:val="26"/>
          <w:szCs w:val="26"/>
        </w:rPr>
      </w:pPr>
      <w:r w:rsidRPr="009D682B">
        <w:rPr>
          <w:rFonts w:cs="Times New Roman"/>
          <w:noProof/>
          <w:sz w:val="26"/>
          <w:szCs w:val="26"/>
        </w:rPr>
        <w:t xml:space="preserve">В области </w:t>
      </w:r>
      <w:r w:rsidRPr="009D682B">
        <w:rPr>
          <w:rFonts w:cs="Times New Roman"/>
          <w:b/>
          <w:noProof/>
          <w:sz w:val="26"/>
          <w:szCs w:val="26"/>
        </w:rPr>
        <w:t xml:space="preserve">образовательной деятельности: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обновление содержания и методик подготовки педагогических кадров на всех уровнях образования;</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актуализация содержания образовательных программ с учетом потребностей соответствующих отраслей экономики;</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внедрение адаптивных, практико-ориентированных образовательных программ, создание образовательных программ нового поколения;</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совершенствование профессиональных компетенций профессорско-преподавательского состава и учебно-вспомогательного персонала;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pacing w:val="4"/>
          <w:sz w:val="26"/>
          <w:szCs w:val="26"/>
        </w:rPr>
      </w:pPr>
      <w:r w:rsidRPr="009D682B">
        <w:rPr>
          <w:rFonts w:cs="Times New Roman"/>
          <w:noProof/>
          <w:spacing w:val="4"/>
          <w:sz w:val="26"/>
          <w:szCs w:val="26"/>
        </w:rPr>
        <w:t xml:space="preserve">совершенствование системы мониторинга и оценки качества образования;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модернизация ресурсного обеспечения образовательного процесса;</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pacing w:val="4"/>
          <w:sz w:val="26"/>
          <w:szCs w:val="26"/>
        </w:rPr>
      </w:pPr>
      <w:r w:rsidRPr="009D682B">
        <w:rPr>
          <w:rFonts w:cs="Times New Roman"/>
          <w:noProof/>
          <w:spacing w:val="4"/>
          <w:sz w:val="26"/>
          <w:szCs w:val="26"/>
        </w:rPr>
        <w:t xml:space="preserve">поддержка и развитие системы целевой подготовки педагогических кадров. </w:t>
      </w:r>
    </w:p>
    <w:p w:rsidR="009B69E9" w:rsidRPr="009D682B" w:rsidRDefault="009B69E9" w:rsidP="009D682B">
      <w:pPr>
        <w:tabs>
          <w:tab w:val="left" w:pos="993"/>
          <w:tab w:val="left" w:pos="1276"/>
        </w:tabs>
        <w:spacing w:after="0"/>
        <w:ind w:firstLine="709"/>
        <w:contextualSpacing/>
        <w:jc w:val="both"/>
        <w:rPr>
          <w:rFonts w:cs="Times New Roman"/>
          <w:b/>
          <w:noProof/>
          <w:sz w:val="26"/>
          <w:szCs w:val="26"/>
        </w:rPr>
      </w:pPr>
      <w:r w:rsidRPr="009D682B">
        <w:rPr>
          <w:rFonts w:cs="Times New Roman"/>
          <w:noProof/>
          <w:sz w:val="26"/>
          <w:szCs w:val="26"/>
        </w:rPr>
        <w:t xml:space="preserve">В области </w:t>
      </w:r>
      <w:r w:rsidRPr="009D682B">
        <w:rPr>
          <w:rFonts w:cs="Times New Roman"/>
          <w:b/>
          <w:noProof/>
          <w:sz w:val="26"/>
          <w:szCs w:val="26"/>
        </w:rPr>
        <w:t xml:space="preserve">научно-инновационной деятельности и международного сотрудничества: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 xml:space="preserve"> построение целостной системы подготовки, профессионального роста и воспроизводства научных и научно-педагогических кадров университета;</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совершенствование инфраструктуры научных исследований, разработок и инновационной деятельности;</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расширение присутствия в российском и международном пространстве научных исследований;</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развитие механизма вовлечения в научно-исследовательскую деятельность обучающихся;</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совершенствование системы поддержки молодых ученых;</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участие в международных проектах, грантовых конкурсах, проведение международных научных исследований.</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В области </w:t>
      </w:r>
      <w:r w:rsidRPr="009D682B">
        <w:rPr>
          <w:rFonts w:cs="Times New Roman"/>
          <w:b/>
          <w:noProof/>
          <w:sz w:val="26"/>
          <w:szCs w:val="26"/>
        </w:rPr>
        <w:t>воспитательной работы и социального партнерства:</w:t>
      </w:r>
      <w:r w:rsidRPr="009D682B">
        <w:rPr>
          <w:rFonts w:cs="Times New Roman"/>
          <w:noProof/>
          <w:sz w:val="26"/>
          <w:szCs w:val="26"/>
        </w:rPr>
        <w:t xml:space="preserve"> </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воспитание уважения к закону, нормам коллективной жизни, развитие гражданской и социальной ответственности;</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t>выявление и поддержка талантливой молодежи, формирование организаторских качеств, творческого потенциала, вовлечение обучающихся в процессы саморазвития и самореализации;</w:t>
      </w:r>
    </w:p>
    <w:p w:rsidR="009B69E9" w:rsidRPr="009D682B" w:rsidRDefault="009B69E9" w:rsidP="009D682B">
      <w:pPr>
        <w:numPr>
          <w:ilvl w:val="0"/>
          <w:numId w:val="1"/>
        </w:numPr>
        <w:tabs>
          <w:tab w:val="clear" w:pos="786"/>
          <w:tab w:val="num" w:pos="0"/>
          <w:tab w:val="left" w:pos="900"/>
          <w:tab w:val="left" w:pos="993"/>
          <w:tab w:val="left" w:pos="1276"/>
        </w:tabs>
        <w:spacing w:after="0"/>
        <w:ind w:left="0" w:firstLine="709"/>
        <w:contextualSpacing/>
        <w:jc w:val="both"/>
        <w:rPr>
          <w:rFonts w:cs="Times New Roman"/>
          <w:noProof/>
          <w:sz w:val="26"/>
          <w:szCs w:val="26"/>
        </w:rPr>
      </w:pPr>
      <w:r w:rsidRPr="009D682B">
        <w:rPr>
          <w:rFonts w:cs="Times New Roman"/>
          <w:noProof/>
          <w:sz w:val="26"/>
          <w:szCs w:val="26"/>
        </w:rPr>
        <w:lastRenderedPageBreak/>
        <w:t>воспитание внутренней потребности личности в здоровом образе жизни, ответственного отношения к природной и социокультурной среде, культуры безопасного поведения.</w:t>
      </w:r>
    </w:p>
    <w:p w:rsidR="009B69E9" w:rsidRPr="009D682B" w:rsidRDefault="009B69E9" w:rsidP="009D682B">
      <w:pPr>
        <w:tabs>
          <w:tab w:val="left" w:pos="900"/>
          <w:tab w:val="left" w:pos="993"/>
          <w:tab w:val="left" w:pos="1276"/>
        </w:tabs>
        <w:spacing w:after="0"/>
        <w:ind w:firstLine="709"/>
        <w:contextualSpacing/>
        <w:jc w:val="both"/>
        <w:rPr>
          <w:rFonts w:cs="Times New Roman"/>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4" w:name="_Toc123048170"/>
      <w:r w:rsidRPr="009D682B">
        <w:rPr>
          <w:b/>
          <w:bCs w:val="0"/>
          <w:i w:val="0"/>
          <w:noProof/>
          <w:color w:val="auto"/>
          <w:sz w:val="26"/>
        </w:rPr>
        <w:t>Образовательная политика</w:t>
      </w:r>
      <w:bookmarkEnd w:id="4"/>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Развитие образовательной политики имеет целью обновление системы подготовки высокопрофессиональных педагогических кадров, переподготовки и повышения квалификации педагогических работников, направленное на решение национальных целей, научно-образовательных и социально-культурных задач, отвечающих требованиям системной трансформации современного общества, участия в создании единого образовательного пространства, включенность в процесс всех участников системы непрерывного педагогического образования и их ответственность за образовательный результат.</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Проектирование образовательных программ, построенных на основе модульного подхода, является одним из механизмов успешного решения  образовательной политики университета. Введение новых образовательных модулей, создание Технопарка универсальных педагогических компетенций позволяют успешно решать задачи по реализации междисциплинарного подхода в процессе организации образовательной деятельности.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В рамках реализация федеральной повестки в части единого образовательного пространство подготовки педагогический кадров (Ядро высшего педагогического образования) 50% профессорского-преподавательского состава, обеспечивающего образовательную деятельность по психолого-педагогической и методической подготовке, прошло повышение квалификации на базе  ФГАОУ ДПО «Академия Минпросвещения России» по программам: «Универсальные педагогические компетенции: методологии и технологии  подготовки учителя будущего», «Проектирование и особенности реализации основных профессиональных образовательных программ с учетом единых подходов к структуре и содержанию программ педагогического бакалавриата», «Внедрение единых подходов к психолого-педагогической и методической подготовке  в программах педагогического бакалавриата».</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Имеющийся многолетний опыт подготовки специалистов и высококвалифицированный преподавательский состав позволяет гибко реагировать на внешние изменения в экономике региона.  Ежегодно на основе анализа экономических и социальных потребностей региона открываются новые конкурентоспособных профили в рамках реализуемых направлений подготовки, такие как 09.03.03 Прикладная информатика профиль «Автоматизированное управление бизнес-процессами и финансами»; 44.03.04 Профессиональное обучение (по отраслям) профиль «Экономика и управление», «Информационные технологии (бизнес-аналитика на базе систем искусственного интеллекта)»; 44.03.05 Педагогическое образование (с двумя профилями подготовки) профили «История и иностранный (английский) язык»; Русский язык как иностранный и иностранный (английский) язык; 45.05.01 Перевод и переводоведение специализация №3 «Лингвистическое обеспечение межгосударственных отношений (английский и китайский языки)»;44.04.01 Педагогическое образование направления подготовки: «Математическое образование», «Социально-гуманитарные науки и образование», «Музыкальное образование»; 44.04.02 </w:t>
      </w:r>
      <w:r w:rsidRPr="009D682B">
        <w:rPr>
          <w:rFonts w:cs="Times New Roman"/>
          <w:noProof/>
          <w:sz w:val="26"/>
          <w:szCs w:val="26"/>
        </w:rPr>
        <w:lastRenderedPageBreak/>
        <w:t xml:space="preserve">Психолого-педагогическое образование направление подготовки «Организационная психология и психология управления» и др.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Внедрение независимой оценки качества подготовки специалистов посредством проведения независимой экспертизы образовательных программ, мониторинга знаний обучающихся  явлется приоритентым нап</w:t>
      </w:r>
      <w:r w:rsidR="00973C6A">
        <w:rPr>
          <w:rFonts w:cs="Times New Roman"/>
          <w:noProof/>
          <w:sz w:val="26"/>
          <w:szCs w:val="26"/>
        </w:rPr>
        <w:t>ра</w:t>
      </w:r>
      <w:r w:rsidRPr="009D682B">
        <w:rPr>
          <w:rFonts w:cs="Times New Roman"/>
          <w:noProof/>
          <w:sz w:val="26"/>
          <w:szCs w:val="26"/>
        </w:rPr>
        <w:t>влением в образовательной политике вуза. Студенты ежегодно участвуют в независимой оценке качества подготовки проводимой ФГБУ «Национальное аккредитационное агентство в сфере образования». Результаты, полученные в ходе проведения НОКО, соответствуют предъявляемым требованиям Рособрнадзора, что подтверждается информационно-аналитической картой и Сертификатом участника НОК.</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В практикоориентированной модели высшего педагогического образования демонстрационный экзамен становится результативным средством итогового контроля формирования компетенций. В связи с открытием методических кабинетов по физике, химии, технологии, биологии, площадок для проведения демонстрационного экзамена на базе Технопарка проведение промежуточной аттестации обучающихся будет проходить с применением элементов демонстрационного экзамена.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Сегодня обучающиеся имеют возможность подготовить и представить реализацию своих инновационных проектов благодаря высокотехнологичному пространству Технопарка. Это работы по созданию информационно-образовательных ресурсов,  разработки кейсов для организации внеурочной деятельности учащихся по робототехнике и многое другое. Все это способствовует повышению мотивации к успешному освоению программ обучения, а также готовности молодых педагогов более креативно подходить к своей будущей профессиональной деятельности в образовательных организациях.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 В университете последовательно реализуется политка повышениякачества контингента обучающихся через развитие системы профориентационной работы и привлечения педагогически-одаренной молодежи в университет.  Одной из важных особенностей в достижении более высоких результатов в формировании профессиональной компетентных специалистов является привлечение в профессиональную среду педагогически одаренных выпускников школ, имеющих не только высокие баллы по ЕГЭ и высоко мотивированных к педагогической профессии, а также владеющие коммуникативными способностями. При подборе старшеклассников в психолого-педагогические классы специалисты Университета проводят тестирование, позволяющие также обнаружить сформированные способности для работы с детьми.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5" w:name="_Toc123048171"/>
      <w:r w:rsidRPr="009D682B">
        <w:rPr>
          <w:b/>
          <w:bCs w:val="0"/>
          <w:i w:val="0"/>
          <w:noProof/>
          <w:color w:val="auto"/>
          <w:sz w:val="26"/>
        </w:rPr>
        <w:t>Научно-исследовательская политика и политика в области инноваций и коммерциализации разработок</w:t>
      </w:r>
      <w:bookmarkEnd w:id="5"/>
      <w:r w:rsidRPr="009D682B">
        <w:rPr>
          <w:b/>
          <w:bCs w:val="0"/>
          <w:i w:val="0"/>
          <w:noProof/>
          <w:color w:val="auto"/>
          <w:sz w:val="26"/>
        </w:rPr>
        <w:t xml:space="preserve">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Основные приоритеты развития научно-исследовательской деятельности университета определяются Указом Президента Российской Федерации от 21 июля 2020 года № 474 «О национальных целях развития Российской Федерации на период до 2030 года» и Стратегией научно-технологического развития Российской Федерации, утвержденной Указом Президента Российской Федерации от 1 декабря 2016 года № 642 «О Стратегии научно-технологического развития Российской Федерации».</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lastRenderedPageBreak/>
        <w:t>Реализация научно-исследовательской политики имеет целью интеграцию новейших достижений фундаментальной и прикладной науки с практикой профессиональной подготовки и повышения квалификации педагогических кадров. Цель политики в области инноваций и коммерциализации разработок – осуществление перспективных научных исследований и регистрация результатов интеллектуальной деятельности в востребованных областях, их продвижение совместно с партнерами из числа образовательных и научных организаций.</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Университет занимается исследованиями, ориентированными на решение актуальных научных проблем: научная деятельность осуществляется по 40 научным направлениям, в рамках которых за последние пять лет проведено 315 прикладных, фундаментальных и поисковых научных исследований. Общий объем финансирования научно-исследовательских работ показывает положительную динамику: в 2019 – 20,1 млн. руб., в 2020 – 24,5 млн. руб., в 2021 – 27,35 млн. руб. Структура источников финансирования: фонды поддержки научной, научно-технической и инновационной деятельности (гранты РФФИ «Репрезентация культурных ландшафтов в современных видеоиграх», «Системы землепользования в лесной зоне Восточной Европы в эпоху Великого переселения народов (III–VII вв.)»), зарубежные источники, иные внебюджетные источники и собственные средства вуза, государственное задание Минпросвещения России («Методика преподавания русского языка и литературы в общеобразовательной организации с учетом реализации моделей смешанного обучения»).</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По заказу и совместно с БУ ЧР ДПО «Чувашский республиканский институт образования» Министерства образования и молодежной политики Чувашской Республики осуществляются следующие научные исследования: «Система оценки планируемых результатов освоения основной образовательной программы», «Школьная неуспеваемость: психолого-педагогические причины и пути преодоления», «Анализ результатов ГИА, ВПР: причины низких результатов обучающихся, пути повышения качества образования», «Система подготовки к итоговой аттестации выпускников (ОГЭ, ЕГЭ) на основе анализа результатов текущего контроля и промежуточной аттестации обучающихся», «Эффективность функционирования школьных методических объединений, организация методической работы».</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В структуре университета функционируют научные подразделения: «Научно-исследовательский центр по психолого-педагогической профилактике отклоняющегося поведения несовершеннолетних», «Центр изучения русского языка и культуры», «Научно-исследовательский институт этнопедагогики имени академика РАО Г.Н. Волкова», «Научно-образовательный инновационный центр педагогики и психологии детства», «Научно-исследовательская лаборатория проблем здоровья и спорта», «Научно-исследовательская лаборатория физиологии и морфологии человека и животных», «Центр изучения культур и языков стран Азии», которые активно сотрудничают с ведущими научными и научно-образовательными организациями Российской Федерации.</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Реализация научно-исследовательской политики обеспечивается активным вовлечением в исследования обучающихся: деятельность научных кружков и клубов, создание корпуса научных волонтеров общеобразовательных организаций Чувашской Республики, популяризация науки среди молодежи через движение Science Slam.</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6" w:name="_Toc123048172"/>
      <w:r w:rsidRPr="009D682B">
        <w:rPr>
          <w:b/>
          <w:bCs w:val="0"/>
          <w:i w:val="0"/>
          <w:noProof/>
          <w:color w:val="auto"/>
          <w:sz w:val="26"/>
        </w:rPr>
        <w:lastRenderedPageBreak/>
        <w:t>Молодежная политика</w:t>
      </w:r>
      <w:bookmarkEnd w:id="6"/>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Основной целью реализации молодежной политики и воспитательной работы университета на период до 2030 года является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физическом и профессиональном развитии. Большое внимание уделяется ресурсному обеспечению данного направления: нормативно-правовому, кадровому, финансовому.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Для проведения мероприятий по молодежной политике активно используется инфраструктура вуза: технопарк универсальных педагогических компетенций, центр гражданско-патриотического воспитания, коворкинг, музеи вуза, концертные и спортивные залы, бассейн, санаторий-профилакторий «Мечта» и др. Свидетельством  результата большой работы коллектива стала победа во Всероссийском конкурсе педагогических работников Минпросвещения России «Воспитать человека» в номинации «Воспитание студентов вузов» (2021). Развитие студенческого самоуправления, поддержка 18 студенческих объединений и участие во всероссийских и республиканских грантовых конкурсах позволило реализовывать за последние годы пять масштабных молодежных проектов, среди которых полевая археологическая школа «Детективы прошлого», «Неделя духовно-нравственного развития», «Рубежи Победы» (в рамках Года, посвященного трудовому подвигу строителей Сурского и Казанского оборонительных рубежей), обучение студентов по программе профессионального «Вожатый» и др. Вуз выступил региональной площадкой Всероссийского студенческого форума «Диалоги на равных», организовал Всероссийский слет студенческих поисковых отрядов, интерактивную образовательную площадку «За Родину!». Благодаря поддержке студенческих инициатив трансформируются традиционные мероприятия и появляются новые (студенческий бал, квартирник, чествование лучших выпускников, Мистер и мисс ЧГПУ, Студент года и др.). В вузе действует более 30 творческих объединений и спортивных секций и с каждым годом их спектр расширяется, так в последний год появились Клуб исторической реконструкции, студенческий театр, шахматы, чир-лидинг. В вузе ежегодно проводится более 150 мероприятий и событий, направленных на личностное, профессиональное и физическое развитие обучающихся, формирование у них социально значимых, нравственных качеств, активной гражданской позиции.</w:t>
      </w:r>
    </w:p>
    <w:p w:rsidR="00142E4B" w:rsidRPr="009D682B" w:rsidRDefault="00142E4B" w:rsidP="009D682B">
      <w:pPr>
        <w:tabs>
          <w:tab w:val="left" w:pos="993"/>
          <w:tab w:val="left" w:pos="1276"/>
        </w:tabs>
        <w:spacing w:after="0"/>
        <w:ind w:firstLine="709"/>
        <w:contextualSpacing/>
        <w:jc w:val="both"/>
        <w:rPr>
          <w:rFonts w:cs="Times New Roman"/>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7" w:name="_Toc123048173"/>
      <w:r w:rsidRPr="009D682B">
        <w:rPr>
          <w:b/>
          <w:bCs w:val="0"/>
          <w:i w:val="0"/>
          <w:noProof/>
          <w:color w:val="auto"/>
          <w:sz w:val="26"/>
        </w:rPr>
        <w:t>Политика управления человеческим капиталом</w:t>
      </w:r>
      <w:bookmarkEnd w:id="7"/>
    </w:p>
    <w:p w:rsidR="009B69E9" w:rsidRPr="009D682B" w:rsidRDefault="009B69E9" w:rsidP="009D682B">
      <w:pPr>
        <w:tabs>
          <w:tab w:val="left" w:pos="993"/>
          <w:tab w:val="left" w:pos="1134"/>
          <w:tab w:val="left" w:pos="1276"/>
        </w:tabs>
        <w:spacing w:after="0"/>
        <w:ind w:firstLine="709"/>
        <w:contextualSpacing/>
        <w:jc w:val="both"/>
        <w:rPr>
          <w:rFonts w:cs="Times New Roman"/>
          <w:noProof/>
          <w:sz w:val="26"/>
          <w:szCs w:val="26"/>
          <w:lang w:eastAsia="ru-RU"/>
        </w:rPr>
      </w:pPr>
      <w:r w:rsidRPr="009D682B">
        <w:rPr>
          <w:rFonts w:cs="Times New Roman"/>
          <w:noProof/>
          <w:sz w:val="26"/>
          <w:szCs w:val="26"/>
          <w:lang w:eastAsia="ru-RU"/>
        </w:rPr>
        <w:t xml:space="preserve">Кадровая политика ЧГПУ им. И.Я. Яковлева нацелена на следующие сферы управления человеческим капиталом: </w:t>
      </w:r>
      <w:r w:rsidRPr="009D682B">
        <w:rPr>
          <w:rFonts w:cs="Times New Roman"/>
          <w:noProof/>
          <w:sz w:val="26"/>
          <w:szCs w:val="26"/>
        </w:rPr>
        <w:t xml:space="preserve">совершенствование профессиональных компетенций работников путем повышения квалификации, профессиональной переподготовки, проведения конкурсов; увеличение доли молодых научно-педагогических работников путем формирования системы целевого обучения в аспирантуре; разработку траекторий карьерного роста для различных категорий работников университета путем создания системы обучения кадрового резерва управленческих кадров, а также аттестации. </w:t>
      </w:r>
    </w:p>
    <w:p w:rsidR="009B69E9" w:rsidRPr="009D682B" w:rsidRDefault="009B69E9" w:rsidP="009D682B">
      <w:pPr>
        <w:tabs>
          <w:tab w:val="left" w:pos="993"/>
          <w:tab w:val="left" w:pos="1134"/>
          <w:tab w:val="left" w:pos="1276"/>
        </w:tabs>
        <w:spacing w:after="0"/>
        <w:ind w:firstLine="709"/>
        <w:contextualSpacing/>
        <w:jc w:val="both"/>
        <w:rPr>
          <w:rFonts w:cs="Times New Roman"/>
          <w:noProof/>
          <w:sz w:val="26"/>
          <w:szCs w:val="26"/>
          <w:lang w:eastAsia="ru-RU"/>
        </w:rPr>
      </w:pPr>
      <w:r w:rsidRPr="009D682B">
        <w:rPr>
          <w:rFonts w:cs="Times New Roman"/>
          <w:noProof/>
          <w:sz w:val="26"/>
          <w:szCs w:val="26"/>
        </w:rPr>
        <w:t xml:space="preserve">В целях совершенствования кадрового обеспечения деятельности университета за последние 5 лет реализован комплекс мероприятий в кадровой </w:t>
      </w:r>
      <w:r w:rsidRPr="009D682B">
        <w:rPr>
          <w:rFonts w:cs="Times New Roman"/>
          <w:noProof/>
          <w:sz w:val="26"/>
          <w:szCs w:val="26"/>
        </w:rPr>
        <w:lastRenderedPageBreak/>
        <w:t xml:space="preserve">сфере, </w:t>
      </w:r>
      <w:r w:rsidRPr="009D682B">
        <w:rPr>
          <w:rFonts w:cs="Times New Roman"/>
          <w:noProof/>
          <w:sz w:val="26"/>
          <w:szCs w:val="26"/>
          <w:lang w:eastAsia="ru-RU"/>
        </w:rPr>
        <w:t>оказывающих прямое влияние на его дальнейшее развитие и повышение конкурентоспособности:</w:t>
      </w:r>
    </w:p>
    <w:p w:rsidR="009B69E9" w:rsidRPr="009D682B" w:rsidRDefault="009B69E9" w:rsidP="009D682B">
      <w:pPr>
        <w:pStyle w:val="a4"/>
        <w:tabs>
          <w:tab w:val="left" w:pos="993"/>
          <w:tab w:val="left" w:pos="1134"/>
          <w:tab w:val="left" w:pos="1276"/>
        </w:tabs>
        <w:spacing w:before="0" w:beforeAutospacing="0" w:after="0" w:afterAutospacing="0"/>
        <w:ind w:firstLine="709"/>
        <w:contextualSpacing/>
        <w:jc w:val="both"/>
        <w:rPr>
          <w:noProof/>
          <w:sz w:val="26"/>
          <w:szCs w:val="26"/>
        </w:rPr>
      </w:pPr>
      <w:r w:rsidRPr="009D682B">
        <w:rPr>
          <w:noProof/>
          <w:sz w:val="26"/>
          <w:szCs w:val="26"/>
        </w:rPr>
        <w:t>1. Пересмотр и оптимизация организационной структуры и штатной численности профессорско-преподавательского состава, учебно-вспомогательного и административно-управленческого персонала.</w:t>
      </w:r>
    </w:p>
    <w:p w:rsidR="009B69E9" w:rsidRPr="009D682B" w:rsidRDefault="009B69E9" w:rsidP="009D682B">
      <w:pPr>
        <w:pStyle w:val="a4"/>
        <w:tabs>
          <w:tab w:val="left" w:pos="993"/>
          <w:tab w:val="left" w:pos="1134"/>
          <w:tab w:val="left" w:pos="1276"/>
        </w:tabs>
        <w:spacing w:before="0" w:beforeAutospacing="0" w:after="0" w:afterAutospacing="0"/>
        <w:ind w:firstLine="709"/>
        <w:contextualSpacing/>
        <w:jc w:val="both"/>
        <w:rPr>
          <w:noProof/>
          <w:sz w:val="26"/>
          <w:szCs w:val="26"/>
        </w:rPr>
      </w:pPr>
      <w:r w:rsidRPr="009D682B">
        <w:rPr>
          <w:noProof/>
          <w:sz w:val="26"/>
          <w:szCs w:val="26"/>
        </w:rPr>
        <w:t>2. Создание механизма стимулирования академической и научной активности ППС, успешное использование механизма эффективного контракта (разработана система рейтинговой оценки ППС, предложена система материального стимулирования), что позволило перенести акцент управления с формального соответствия кадрового обеспечения вуза заданным параметрам на его результативность («оплата по результату»). В результате достигнут постоянный и значительный рост средней заработной платы по вузу, а также заданный уровень соотношения среднемесячной заработной платы научно-педагогических работников к среднемесячной зарплате в Чувашской Республике. За последние 5 лет средняя заработная плата ППС выросла на 87% с 30898 руб. в 2016 г. до 57747 руб. в 2021 г. за счет роста заработной платы, увеличения стимулирующих выплат, внедрения компенсационных (социальных) выплат работникам.</w:t>
      </w:r>
    </w:p>
    <w:p w:rsidR="009B69E9" w:rsidRPr="009D682B" w:rsidRDefault="009B69E9" w:rsidP="009D682B">
      <w:pPr>
        <w:pStyle w:val="a4"/>
        <w:tabs>
          <w:tab w:val="left" w:pos="993"/>
          <w:tab w:val="left" w:pos="1134"/>
          <w:tab w:val="left" w:pos="1276"/>
        </w:tabs>
        <w:spacing w:before="0" w:beforeAutospacing="0" w:after="0" w:afterAutospacing="0"/>
        <w:ind w:firstLine="709"/>
        <w:contextualSpacing/>
        <w:jc w:val="both"/>
        <w:rPr>
          <w:noProof/>
          <w:sz w:val="26"/>
          <w:szCs w:val="26"/>
        </w:rPr>
      </w:pPr>
      <w:r w:rsidRPr="009D682B">
        <w:rPr>
          <w:noProof/>
          <w:sz w:val="26"/>
          <w:szCs w:val="26"/>
        </w:rPr>
        <w:t>3. Подбор и расстановка кадров осуществляются на конкурсной основе, с обеспечением работников полной учебной нагрузкой и увеличением сроков трудовых договоров (с одного до трех лет).</w:t>
      </w:r>
    </w:p>
    <w:p w:rsidR="009B69E9" w:rsidRPr="009D682B" w:rsidRDefault="009B69E9" w:rsidP="009D682B">
      <w:pPr>
        <w:pStyle w:val="a4"/>
        <w:tabs>
          <w:tab w:val="left" w:pos="993"/>
          <w:tab w:val="left" w:pos="1134"/>
          <w:tab w:val="left" w:pos="1276"/>
        </w:tabs>
        <w:spacing w:before="0" w:beforeAutospacing="0" w:after="0" w:afterAutospacing="0"/>
        <w:ind w:firstLine="709"/>
        <w:contextualSpacing/>
        <w:jc w:val="both"/>
        <w:rPr>
          <w:noProof/>
          <w:sz w:val="26"/>
          <w:szCs w:val="26"/>
        </w:rPr>
      </w:pPr>
      <w:r w:rsidRPr="009D682B">
        <w:rPr>
          <w:noProof/>
          <w:sz w:val="26"/>
          <w:szCs w:val="26"/>
        </w:rPr>
        <w:t>4. Последовательное систематическое проведение мероприятий по повышению квалификации и переподготовке ППС, конкурсов профессионального мастерства.</w:t>
      </w:r>
    </w:p>
    <w:p w:rsidR="009B69E9" w:rsidRPr="009D682B" w:rsidRDefault="009B69E9" w:rsidP="009D682B">
      <w:pPr>
        <w:pStyle w:val="a4"/>
        <w:tabs>
          <w:tab w:val="left" w:pos="993"/>
          <w:tab w:val="left" w:pos="1134"/>
          <w:tab w:val="left" w:pos="1276"/>
        </w:tabs>
        <w:spacing w:before="0" w:beforeAutospacing="0" w:after="0" w:afterAutospacing="0"/>
        <w:ind w:firstLine="709"/>
        <w:contextualSpacing/>
        <w:jc w:val="both"/>
        <w:rPr>
          <w:noProof/>
          <w:sz w:val="26"/>
          <w:szCs w:val="26"/>
        </w:rPr>
      </w:pPr>
      <w:r w:rsidRPr="009D682B">
        <w:rPr>
          <w:noProof/>
          <w:sz w:val="26"/>
          <w:szCs w:val="26"/>
        </w:rPr>
        <w:t>5. Успешное развитие воспроизводства научно-педагогических кадров в аспирантуре, внедрение системы поддержки диссертационных работ, вовлечение молодых специалистов в образовательный процесс, институт наставничества.</w:t>
      </w:r>
    </w:p>
    <w:p w:rsidR="00142E4B" w:rsidRPr="009D682B" w:rsidRDefault="00142E4B" w:rsidP="009D682B">
      <w:pPr>
        <w:tabs>
          <w:tab w:val="left" w:pos="993"/>
          <w:tab w:val="left" w:pos="1134"/>
          <w:tab w:val="left" w:pos="1276"/>
        </w:tabs>
        <w:autoSpaceDN w:val="0"/>
        <w:spacing w:after="0"/>
        <w:ind w:firstLine="709"/>
        <w:contextualSpacing/>
        <w:jc w:val="both"/>
        <w:rPr>
          <w:rFonts w:cs="Times New Roman"/>
          <w:noProof/>
          <w:sz w:val="26"/>
          <w:szCs w:val="26"/>
          <w:lang w:eastAsia="ru-RU"/>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8" w:name="_Toc123048174"/>
      <w:r w:rsidRPr="009D682B">
        <w:rPr>
          <w:b/>
          <w:bCs w:val="0"/>
          <w:i w:val="0"/>
          <w:noProof/>
          <w:color w:val="auto"/>
          <w:sz w:val="26"/>
        </w:rPr>
        <w:t>Политика по развитию инфраструктуры и кампуса</w:t>
      </w:r>
      <w:bookmarkEnd w:id="8"/>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Целью реализации политики является по формирование современного научно-образовательного кампуса, обеспечивающего комфортные и безопасные условия для обучающихся и сотрудников университета.</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В предыдущий пятилетний период  особое внимание уделялось расширению и укреплению материально-технической базы. В соответствии с программой модернизации имущественного комплекса проведена значительная работа по строительству, ремонту и содержанию основных, производственных и вспомогательных объектов вуза, что позволило создать комфортные и безопасные условия для обучающихся и работников.</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На ремонт имущественного комплекса направлено в 2017 году – 11,3 млн руб., в том числе,за счет средств федерального бюджета – 9,0 млн руб.;  в 2018 году – 14,6 млн руб., в том числе,за счет средств федерального бюджета – 8,0 млн руб.; в 2019 году – 5,6 млн руб.; в 2020 году за счет средств целевой субсидии из федерального бюджета – 70,0 млн руб., в том числе, на капитальный ремонт – 53,5 млн руб. на выполнение работ по антитеррористической защищенности объектов университета – 9,2 млн. руб.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В целях реализации комплексного перечня мероприятий по модернизации материально-технической базы университета в 2021 году была выделена субсидия в размере 155 млн. руб., в 2022 году - 125 млн. руб., в рамках которой осуществляется создание и развитие технопарка универсальных педагогических </w:t>
      </w:r>
      <w:r w:rsidRPr="009D682B">
        <w:rPr>
          <w:rFonts w:cs="Times New Roman"/>
          <w:noProof/>
          <w:sz w:val="26"/>
          <w:szCs w:val="26"/>
        </w:rPr>
        <w:lastRenderedPageBreak/>
        <w:t>компетенций «Учитель будущего поколения России», как единой интеллектуально насыщенной образовательной среды, направленной на формирование системы эффективной практической подготовки будущих педагогов, применяющих в своей работе междисциплинарные знания (лаборатории, презентационные залы, лектории, площадка для демоэкзамена).</w:t>
      </w:r>
    </w:p>
    <w:p w:rsidR="009B69E9" w:rsidRPr="009D682B" w:rsidRDefault="009B69E9" w:rsidP="009D682B">
      <w:pPr>
        <w:tabs>
          <w:tab w:val="left" w:pos="993"/>
          <w:tab w:val="left" w:pos="1134"/>
          <w:tab w:val="left" w:pos="1276"/>
        </w:tabs>
        <w:autoSpaceDN w:val="0"/>
        <w:spacing w:after="0"/>
        <w:ind w:firstLine="709"/>
        <w:contextualSpacing/>
        <w:jc w:val="both"/>
        <w:rPr>
          <w:rFonts w:cs="Times New Roman"/>
          <w:noProof/>
          <w:sz w:val="26"/>
          <w:szCs w:val="26"/>
          <w:lang w:eastAsia="ru-RU"/>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9" w:name="_Toc123048175"/>
      <w:r w:rsidRPr="009D682B">
        <w:rPr>
          <w:b/>
          <w:bCs w:val="0"/>
          <w:i w:val="0"/>
          <w:noProof/>
          <w:color w:val="auto"/>
          <w:sz w:val="26"/>
        </w:rPr>
        <w:t>Цифровая трансформация и политика в области открытых данных</w:t>
      </w:r>
      <w:bookmarkEnd w:id="9"/>
    </w:p>
    <w:p w:rsidR="009B69E9" w:rsidRPr="009D682B" w:rsidRDefault="009B69E9" w:rsidP="00577A25">
      <w:pPr>
        <w:pStyle w:val="a3"/>
        <w:tabs>
          <w:tab w:val="left" w:pos="993"/>
          <w:tab w:val="left" w:pos="1276"/>
        </w:tabs>
        <w:spacing w:after="0" w:line="240" w:lineRule="auto"/>
        <w:ind w:left="0" w:firstLine="709"/>
        <w:jc w:val="both"/>
        <w:rPr>
          <w:noProof/>
          <w:sz w:val="26"/>
          <w:szCs w:val="26"/>
        </w:rPr>
      </w:pPr>
      <w:r w:rsidRPr="009D682B">
        <w:rPr>
          <w:noProof/>
          <w:sz w:val="26"/>
          <w:szCs w:val="26"/>
        </w:rPr>
        <w:t xml:space="preserve">Целью реализации цифровой политики университета  является совершенствование всех сфер деятельности университета посредством внедрения передовых технологий и создания единой автоматизированной цифровой среды для повышения условий и качества образования, науки и эффективности управления.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Разработка и внедрение программных и аппаратных комплексов, обеспечивающих поддержку образовательного процесса, научных исследований, инновационной и организационно-управленческой деятельности на базе современных информационных систем в совокупности с единым корпоративным интернет-порталом, что позволит сформировать централизованную интегрированную информационную среду «Цифровой университет». Внедрение электронного портфолио преподавателя, обучающегося. Развитие данной среды направлено на увеличение количества и повышение доступности информационных ресурсов, расширение возможностей аналитической обработки, сокращение объема бумажного документооборота, повышение качества предоставления информации. Создание единого информационно-ресурсного портала. Актуализация существующих модулей и создание интегрирующей платформы: управление образовательным процессом, административно-хозяйственной частью, научно- исследовательской деятельностью.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Автоматическое фиксирование «цифрового следа» обучающегося по всем активностям в информационных системах. Создание и разработка сервисов, помогающих обучающемуся конструировать индивидуальную образовательную траекторию и достигать запланированных результатов:</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«Курсы по выбору» – поддержка индивидуальной образовательной траектории, «Выбор темы выпускной квалификационной работы/курсовой работы (проекта)», «Оцени свои курсы» – оценка обучающимися пройденных курсов, оценка преподавателей; «Практика обучающихся» – выбор и фиксирование мест прохождения практики, «Единое окно» – заказ всех видов справок, оформление заявлений, заявки на социальную стипендию и т.д.</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Обеспечение коммуникации и взаимодействия между абитуриентами, обучающимися, ППС, НПР, АУП и другими заинтересованными лицами (в т.ч. сервис видеоконференций). Управление образовательной деятельностью (работа с образовательным контентом). Поступление в ЧГПУ им. И.Я. Яковлева (ознакомление абитуриентов с образовательными программами, навигация в инфраструктуре, правила поступления, подготовительные курсы и др.). Цифровой профиль обучающегося и индивидуальная образовательная траектория (мониторинг успеваемости, достижений, оплаты услуг и др.). HR-цикл (оформление практики, коммуникация между обучающимися и работодателями, дополнительное образование и др.). Единый личный кабинет обучающегося (все доступные онлайн услуги).</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lastRenderedPageBreak/>
        <w:t>Модернизация ЛВС, структурированных кабельных систем, источников бесперебойного питания и средств стабилизации напряжения. Оснащение/обновление компьютерного, серверного, мультимедийного, презентационного оборудования и программного обеспечения. Модернизация систем беспроводного широкополосного доступа. Закупка специальных программных средств для формирования интерактивной образовательной среды и совершенствования системы контроля знаний. Создание студии полного цикла по производству всех видов цифрового образовательного контента с использованием передовых технологий.</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 xml:space="preserve">Создание структурного подразделения университета с  расширением функционала в целях унификации подходов к выбору, разработке, модернизации и эксплуатации университетских цифровых систем, приложений и цифровых образовательных услуг. Создание онлайн-офиса, обеспечивающего установление обратной связи между ППС и обучающимися без посредничества учебно-вспомогательного персонала, сопровождение партнеров по научной деятельности и культурно-воспитательным процессам. Разработка стратегических документов по управлению данными, а также локальные нормативные акты по управлению архитектурой данных, управлению качеством данных, управлению метаданными, порядку использования и представления данных пользователям.  </w:t>
      </w:r>
    </w:p>
    <w:p w:rsidR="009B69E9" w:rsidRPr="009D682B" w:rsidRDefault="009B69E9" w:rsidP="009D682B">
      <w:pPr>
        <w:pStyle w:val="a3"/>
        <w:tabs>
          <w:tab w:val="left" w:pos="993"/>
          <w:tab w:val="left" w:pos="1276"/>
        </w:tabs>
        <w:spacing w:after="0" w:line="240" w:lineRule="auto"/>
        <w:ind w:left="0" w:firstLine="709"/>
        <w:jc w:val="both"/>
        <w:rPr>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r w:rsidRPr="009D682B">
        <w:rPr>
          <w:b/>
          <w:bCs w:val="0"/>
          <w:i w:val="0"/>
          <w:noProof/>
          <w:color w:val="auto"/>
          <w:sz w:val="26"/>
        </w:rPr>
        <w:t>Финансово</w:t>
      </w:r>
      <w:bookmarkStart w:id="10" w:name="_Toc123048176"/>
      <w:r w:rsidRPr="009D682B">
        <w:rPr>
          <w:b/>
          <w:bCs w:val="0"/>
          <w:i w:val="0"/>
          <w:noProof/>
          <w:color w:val="auto"/>
          <w:sz w:val="26"/>
        </w:rPr>
        <w:t>-экономическая модель</w:t>
      </w:r>
      <w:bookmarkEnd w:id="10"/>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bookmarkStart w:id="11" w:name="_Toc123048177"/>
      <w:r w:rsidRPr="009D682B">
        <w:rPr>
          <w:rFonts w:cs="Times New Roman"/>
          <w:noProof/>
          <w:sz w:val="26"/>
          <w:szCs w:val="26"/>
        </w:rPr>
        <w:t>Финансовое положение университета является стабильным. Основным источником доходов являются средства от приносящей доход деятельности. ЧГПУ им. И.Я. Яковлева является социально ответственным университетом, демонстрируя стабильный рост заработной платы сотрудников и выполнение дорожной карты согласно Указу Президента РФ от 7 мая 2012 г. № 597 «О мероприятиях по реализации государственной социальной политики». Финансовое положение университета устойчиво, наблюдается стабильный рост внебюджетных доходов вуза. Университет на протяжении пяти лет выполняет все основные показатели мониторинга эффективности деятельности, демонстрируя положительную динамику по многим показателям.</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Несмотря на то, что абсолютная величина и доля расходов на развитие ежегодно увеличивается, для осуществления мероприятий по трансформации образовательной и научной деятельности университета этого недостаточно. Необходимо повышать эффективность управления финансовыми ресурсами и обеспечивать формирование бюджета опережающего развития.</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Стратегическая цель по данному направлению – формирование бюджета развития университета за счет превышения темпов роста доходов над текущими расходами. Бюджет развития должен быть направлен на решение стратегических задач в области образовательной, научной, международной деятельности, на формирование и обновление материально-технической базы университета, отвечающей современным требованиям, вложения в объекты инфраструктуры.</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Повышение эффективности управления финансами университета должно достигаться за счёт внедрения элементов децентрализации системы управления финансовыми ресурсами основных подразделений университета, а также процессов финансово-хозяйственной деятельности, автоматизации и цифровизации процессов</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r w:rsidRPr="009D682B">
        <w:rPr>
          <w:b/>
          <w:bCs w:val="0"/>
          <w:i w:val="0"/>
          <w:noProof/>
          <w:color w:val="auto"/>
          <w:sz w:val="26"/>
        </w:rPr>
        <w:lastRenderedPageBreak/>
        <w:t>Социальная миссия ЧГПУ им. И.Я. Яковлева</w:t>
      </w:r>
      <w:bookmarkEnd w:id="11"/>
      <w:r w:rsidRPr="009D682B">
        <w:rPr>
          <w:b/>
          <w:bCs w:val="0"/>
          <w:i w:val="0"/>
          <w:noProof/>
          <w:color w:val="auto"/>
          <w:sz w:val="26"/>
        </w:rPr>
        <w:t xml:space="preserve"> </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Взаимодействие с предприятиями и организациями реального сектора экономики города, Чувашской Республики, Приволжского федерального округа направлено на эффективное сотрудничество с рядом стратегических партнеров, имеющих научные, образовательные, культурные и общественно-значимые заделы для консолидации усилий. Осуществляется укрепление  культурных связей между этническими группами, населяющими Чувашскую Республику и поддержка локальных инициатив.</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Происходит расширение тематического спектра и модернизация инструментов экспертно-аналитической поддержки деятельности региональных органов власти, города, бизнеса, ассоциаций по актуальным вопросам социально-экономического развития Чувашской Республики. Представители университета – научно-педагогического и студенческого сообществ – входят в состав комиссий, рабочих групп по актуальным вопросам социально-экономического развития Чувашской Республики; налажено взаимодействие с органами власти, депутатским корпусом по реализации системы стимулов и поддержки социально и творчески активной молодежи. Взаимодействие со строительными компаниями, банками по строительству льготного жилья для работников университета помогло реализовать проект «Дом для учителя». Активно привлекаются выпускники университета к образовательному процессу в качестве работодателей.</w:t>
      </w:r>
    </w:p>
    <w:p w:rsidR="009B69E9" w:rsidRPr="009D682B" w:rsidRDefault="009B69E9" w:rsidP="009D682B">
      <w:pPr>
        <w:tabs>
          <w:tab w:val="left" w:pos="993"/>
          <w:tab w:val="left" w:pos="1276"/>
        </w:tabs>
        <w:spacing w:after="0"/>
        <w:ind w:firstLine="709"/>
        <w:contextualSpacing/>
        <w:jc w:val="both"/>
        <w:rPr>
          <w:rFonts w:cs="Times New Roman"/>
          <w:noProof/>
          <w:sz w:val="26"/>
          <w:szCs w:val="26"/>
        </w:rPr>
      </w:pPr>
      <w:r w:rsidRPr="009D682B">
        <w:rPr>
          <w:rFonts w:cs="Times New Roman"/>
          <w:noProof/>
          <w:sz w:val="26"/>
          <w:szCs w:val="26"/>
        </w:rPr>
        <w:t>Реализация новых для университета творческих, социально-гуманитарных проектов отражает вклад вуза в развитие общества, его «третью» миссию. Так, университет является Центром по дополнительному образованию для детей, молодежи и граждан любого возраста. В вузе проводятся научные, образовательные, творческие и культурно-просветительские мероприятия на уровне города и республики. Закреплено положительное общественное мнение об образовательной, спортивной, творческой, научной, международной деятельности ЧГПУ путем презентации материалов о вузе на республиканском телевидении, портала органов власти Чувашии, сайте вуза и социальных сетях. Повысилось  качество создаваемой студентами медиапродукции (от роликов до полноценных интервью), стали узнаваемы «лица ЧГПУ».</w:t>
      </w:r>
    </w:p>
    <w:p w:rsidR="009B69E9" w:rsidRPr="009D682B" w:rsidRDefault="009B69E9" w:rsidP="009D682B">
      <w:pPr>
        <w:pStyle w:val="a3"/>
        <w:tabs>
          <w:tab w:val="left" w:pos="993"/>
          <w:tab w:val="left" w:pos="1276"/>
        </w:tabs>
        <w:spacing w:after="0" w:line="240" w:lineRule="auto"/>
        <w:ind w:left="0" w:firstLine="709"/>
        <w:jc w:val="both"/>
        <w:rPr>
          <w:noProof/>
          <w:sz w:val="26"/>
          <w:szCs w:val="26"/>
        </w:rPr>
      </w:pPr>
    </w:p>
    <w:p w:rsidR="009B69E9" w:rsidRPr="009D682B" w:rsidRDefault="009B69E9" w:rsidP="009D682B">
      <w:pPr>
        <w:pStyle w:val="2"/>
        <w:tabs>
          <w:tab w:val="left" w:pos="993"/>
          <w:tab w:val="left" w:pos="1276"/>
        </w:tabs>
        <w:spacing w:before="0" w:line="240" w:lineRule="auto"/>
        <w:ind w:left="0" w:firstLine="709"/>
        <w:contextualSpacing/>
        <w:jc w:val="both"/>
        <w:rPr>
          <w:b/>
          <w:bCs w:val="0"/>
          <w:i w:val="0"/>
          <w:noProof/>
          <w:color w:val="auto"/>
          <w:sz w:val="26"/>
        </w:rPr>
      </w:pPr>
      <w:bookmarkStart w:id="12" w:name="_Toc123048178"/>
      <w:r w:rsidRPr="009D682B">
        <w:rPr>
          <w:b/>
          <w:bCs w:val="0"/>
          <w:i w:val="0"/>
          <w:noProof/>
          <w:color w:val="auto"/>
          <w:sz w:val="26"/>
        </w:rPr>
        <w:t>Политика в области международной деятельности</w:t>
      </w:r>
      <w:bookmarkEnd w:id="12"/>
    </w:p>
    <w:p w:rsidR="009B69E9" w:rsidRPr="009D682B" w:rsidRDefault="009B69E9" w:rsidP="009D682B">
      <w:pPr>
        <w:tabs>
          <w:tab w:val="left" w:pos="993"/>
          <w:tab w:val="left" w:pos="1276"/>
        </w:tabs>
        <w:spacing w:after="0"/>
        <w:ind w:firstLine="709"/>
        <w:contextualSpacing/>
        <w:jc w:val="both"/>
        <w:rPr>
          <w:rFonts w:cs="Times New Roman"/>
          <w:bCs/>
          <w:noProof/>
          <w:sz w:val="26"/>
          <w:szCs w:val="26"/>
        </w:rPr>
      </w:pPr>
      <w:r w:rsidRPr="009D682B">
        <w:rPr>
          <w:rFonts w:cs="Times New Roman"/>
          <w:bCs/>
          <w:noProof/>
          <w:sz w:val="26"/>
          <w:szCs w:val="26"/>
        </w:rPr>
        <w:t>Основные приоритеты в области международной деятельности определены в соответствии с федеральным проектом «Экспорт образования» национального проекта «Образование».</w:t>
      </w:r>
    </w:p>
    <w:p w:rsidR="009B69E9" w:rsidRPr="009D682B" w:rsidRDefault="009B69E9" w:rsidP="009D682B">
      <w:pPr>
        <w:tabs>
          <w:tab w:val="left" w:pos="993"/>
          <w:tab w:val="left" w:pos="1276"/>
        </w:tabs>
        <w:spacing w:after="0"/>
        <w:ind w:firstLine="709"/>
        <w:contextualSpacing/>
        <w:jc w:val="both"/>
        <w:rPr>
          <w:rFonts w:cs="Times New Roman"/>
          <w:bCs/>
          <w:noProof/>
          <w:sz w:val="26"/>
          <w:szCs w:val="26"/>
        </w:rPr>
      </w:pPr>
      <w:r w:rsidRPr="009D682B">
        <w:rPr>
          <w:rFonts w:cs="Times New Roman"/>
          <w:bCs/>
          <w:noProof/>
          <w:sz w:val="26"/>
          <w:szCs w:val="26"/>
        </w:rPr>
        <w:t xml:space="preserve">Политика в области международной деятельности направлена на повышение роли университета в мире, увеличение количества публикаций в иностранных высокоиндексируемых научных изданиях, проведение международных научных и образовательных проектов, популяризации русского языка за рубежом. Университет имеет 24 действующих договора и соглашения со странами ближнего и дальнего зарубежья, из них: Республика Беларусь (10 партнеров), Республика Узбекистан (5 партнеров), Киргизская Республика (2 партнера), Китайская Народная Республика (2 партнера), Республика Казахстан (1 партнер), Республика Таджикистан (1 партнер). С 2019 года, за исключением постоянного взаимодействия с образовательными организациями Республики Беларусь, основным является азиатское направление международного сотрудничества университета (Китай, Киргизия, Узбекистан), что привело к открытию на базе </w:t>
      </w:r>
      <w:r w:rsidRPr="009D682B">
        <w:rPr>
          <w:rFonts w:cs="Times New Roman"/>
          <w:bCs/>
          <w:noProof/>
          <w:sz w:val="26"/>
          <w:szCs w:val="26"/>
        </w:rPr>
        <w:lastRenderedPageBreak/>
        <w:t>университета в 2021 году Центра изучения языка и культур стран Азии,  функционирует Центр изучения русского языка и культуры на базе Гуйчжоуского педагогического университета (г. Гуйян, КНР).</w:t>
      </w:r>
    </w:p>
    <w:p w:rsidR="009B69E9" w:rsidRPr="009D682B" w:rsidRDefault="009B69E9" w:rsidP="009D682B">
      <w:pPr>
        <w:tabs>
          <w:tab w:val="left" w:pos="993"/>
          <w:tab w:val="left" w:pos="1276"/>
        </w:tabs>
        <w:spacing w:after="0"/>
        <w:ind w:firstLine="709"/>
        <w:contextualSpacing/>
        <w:jc w:val="both"/>
        <w:rPr>
          <w:rFonts w:cs="Times New Roman"/>
          <w:bCs/>
          <w:noProof/>
          <w:sz w:val="26"/>
          <w:szCs w:val="26"/>
        </w:rPr>
      </w:pPr>
      <w:r w:rsidRPr="009D682B">
        <w:rPr>
          <w:rFonts w:cs="Times New Roman"/>
          <w:bCs/>
          <w:noProof/>
          <w:sz w:val="26"/>
          <w:szCs w:val="26"/>
        </w:rPr>
        <w:t>В 2021 году начата реализация сетевой образовательной программы с Ошским государственным университетом по направлению подготовки бакалавриата «Прикладная информатика» (профили: «Автоматизированные управление бизнес-процессами и финансами», «Информационные системы и WEB-приложения»). Наблюдается стабильный интерес иностранных граждан (КНР) к аспирантуре на базе университета (2020 г. – 2 чел., 2021 г. – 3 чел.)</w:t>
      </w:r>
    </w:p>
    <w:p w:rsidR="009D682B" w:rsidRDefault="009D682B" w:rsidP="009D682B">
      <w:pPr>
        <w:tabs>
          <w:tab w:val="left" w:pos="993"/>
          <w:tab w:val="left" w:pos="1276"/>
        </w:tabs>
        <w:spacing w:after="0"/>
        <w:contextualSpacing/>
        <w:jc w:val="both"/>
        <w:rPr>
          <w:rFonts w:cs="Times New Roman"/>
          <w:noProof/>
          <w:sz w:val="26"/>
          <w:szCs w:val="26"/>
        </w:rPr>
      </w:pPr>
    </w:p>
    <w:p w:rsidR="00577A25" w:rsidRDefault="00577A25" w:rsidP="009D682B">
      <w:pPr>
        <w:tabs>
          <w:tab w:val="left" w:pos="993"/>
          <w:tab w:val="left" w:pos="1276"/>
        </w:tabs>
        <w:spacing w:after="0"/>
        <w:contextualSpacing/>
        <w:jc w:val="both"/>
        <w:rPr>
          <w:rFonts w:cs="Times New Roman"/>
          <w:noProof/>
          <w:sz w:val="26"/>
          <w:szCs w:val="26"/>
        </w:rPr>
      </w:pPr>
    </w:p>
    <w:p w:rsidR="009D682B" w:rsidRDefault="009D682B" w:rsidP="009D682B">
      <w:pPr>
        <w:tabs>
          <w:tab w:val="left" w:pos="993"/>
          <w:tab w:val="left" w:pos="1276"/>
        </w:tabs>
        <w:spacing w:after="0"/>
        <w:contextualSpacing/>
        <w:jc w:val="both"/>
        <w:rPr>
          <w:rFonts w:cs="Times New Roman"/>
          <w:noProof/>
          <w:sz w:val="26"/>
          <w:szCs w:val="26"/>
        </w:rPr>
      </w:pPr>
    </w:p>
    <w:p w:rsidR="009D682B" w:rsidRDefault="009D682B" w:rsidP="009D682B">
      <w:pPr>
        <w:tabs>
          <w:tab w:val="left" w:pos="993"/>
          <w:tab w:val="left" w:pos="1276"/>
        </w:tabs>
        <w:spacing w:after="0"/>
        <w:contextualSpacing/>
        <w:jc w:val="both"/>
        <w:rPr>
          <w:rFonts w:cs="Times New Roman"/>
          <w:noProof/>
          <w:sz w:val="26"/>
          <w:szCs w:val="26"/>
        </w:rPr>
      </w:pPr>
    </w:p>
    <w:p w:rsidR="009D682B" w:rsidRPr="009D682B" w:rsidRDefault="009D682B" w:rsidP="009D682B">
      <w:pPr>
        <w:autoSpaceDE w:val="0"/>
        <w:autoSpaceDN w:val="0"/>
        <w:adjustRightInd w:val="0"/>
        <w:ind w:firstLine="851"/>
        <w:jc w:val="both"/>
        <w:rPr>
          <w:rFonts w:cs="Times New Roman"/>
          <w:sz w:val="26"/>
          <w:szCs w:val="26"/>
        </w:rPr>
      </w:pPr>
      <w:r w:rsidRPr="009D682B">
        <w:rPr>
          <w:rFonts w:cs="Times New Roman"/>
          <w:sz w:val="26"/>
          <w:szCs w:val="26"/>
        </w:rPr>
        <w:t>______________</w:t>
      </w:r>
      <w:r w:rsidRPr="009D682B">
        <w:rPr>
          <w:rFonts w:cs="Times New Roman"/>
          <w:sz w:val="26"/>
          <w:szCs w:val="26"/>
        </w:rPr>
        <w:tab/>
      </w:r>
      <w:r w:rsidRPr="009D682B">
        <w:rPr>
          <w:rFonts w:cs="Times New Roman"/>
          <w:sz w:val="26"/>
          <w:szCs w:val="26"/>
        </w:rPr>
        <w:tab/>
      </w:r>
      <w:r w:rsidRPr="009D682B">
        <w:rPr>
          <w:rFonts w:cs="Times New Roman"/>
          <w:sz w:val="26"/>
          <w:szCs w:val="26"/>
        </w:rPr>
        <w:tab/>
      </w:r>
      <w:r w:rsidRPr="009D682B">
        <w:rPr>
          <w:rFonts w:cs="Times New Roman"/>
          <w:sz w:val="26"/>
          <w:szCs w:val="26"/>
        </w:rPr>
        <w:tab/>
        <w:t>______________Е.А. Ильина</w:t>
      </w:r>
    </w:p>
    <w:p w:rsidR="009D682B" w:rsidRPr="009D682B" w:rsidRDefault="009D682B" w:rsidP="009D682B">
      <w:pPr>
        <w:tabs>
          <w:tab w:val="left" w:pos="993"/>
          <w:tab w:val="left" w:pos="1276"/>
        </w:tabs>
        <w:spacing w:after="0"/>
        <w:contextualSpacing/>
        <w:jc w:val="both"/>
        <w:rPr>
          <w:rFonts w:cs="Times New Roman"/>
          <w:noProof/>
          <w:sz w:val="26"/>
          <w:szCs w:val="26"/>
        </w:rPr>
      </w:pPr>
    </w:p>
    <w:sectPr w:rsidR="009D682B" w:rsidRPr="009D682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0E5"/>
    <w:multiLevelType w:val="hybridMultilevel"/>
    <w:tmpl w:val="7A92D6B2"/>
    <w:lvl w:ilvl="0" w:tplc="2ABCE7A8">
      <w:start w:val="1"/>
      <w:numFmt w:val="decimal"/>
      <w:lvlText w:val="%1."/>
      <w:lvlJc w:val="left"/>
      <w:pPr>
        <w:ind w:left="1353" w:hanging="360"/>
      </w:pPr>
      <w:rPr>
        <w:rFonts w:cs="Times New Roman" w:hint="default"/>
        <w:w w:val="99"/>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81D227B"/>
    <w:multiLevelType w:val="hybridMultilevel"/>
    <w:tmpl w:val="01AC8EC2"/>
    <w:lvl w:ilvl="0" w:tplc="D4E87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0C3938"/>
    <w:multiLevelType w:val="hybridMultilevel"/>
    <w:tmpl w:val="9744B9FE"/>
    <w:lvl w:ilvl="0" w:tplc="D4E87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97D2164"/>
    <w:multiLevelType w:val="hybridMultilevel"/>
    <w:tmpl w:val="B4D6234E"/>
    <w:lvl w:ilvl="0" w:tplc="DA00B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D90F89"/>
    <w:multiLevelType w:val="multilevel"/>
    <w:tmpl w:val="F17A88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C27552"/>
    <w:multiLevelType w:val="hybridMultilevel"/>
    <w:tmpl w:val="47B69970"/>
    <w:lvl w:ilvl="0" w:tplc="F2182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C0DF1"/>
    <w:multiLevelType w:val="hybridMultilevel"/>
    <w:tmpl w:val="18500D48"/>
    <w:lvl w:ilvl="0" w:tplc="F2182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54B65"/>
    <w:multiLevelType w:val="hybridMultilevel"/>
    <w:tmpl w:val="664272EC"/>
    <w:lvl w:ilvl="0" w:tplc="F2182650">
      <w:start w:val="1"/>
      <w:numFmt w:val="bullet"/>
      <w:lvlText w:val=""/>
      <w:lvlJc w:val="left"/>
      <w:pPr>
        <w:tabs>
          <w:tab w:val="num" w:pos="786"/>
        </w:tabs>
        <w:ind w:left="786" w:hanging="360"/>
      </w:pPr>
      <w:rPr>
        <w:rFonts w:ascii="Symbol" w:hAnsi="Symbol" w:hint="default"/>
      </w:rPr>
    </w:lvl>
    <w:lvl w:ilvl="1" w:tplc="6E44AAE2" w:tentative="1">
      <w:start w:val="1"/>
      <w:numFmt w:val="bullet"/>
      <w:lvlText w:val="•"/>
      <w:lvlJc w:val="left"/>
      <w:pPr>
        <w:tabs>
          <w:tab w:val="num" w:pos="1506"/>
        </w:tabs>
        <w:ind w:left="1506" w:hanging="360"/>
      </w:pPr>
      <w:rPr>
        <w:rFonts w:ascii="Times New Roman" w:hAnsi="Times New Roman" w:hint="default"/>
      </w:rPr>
    </w:lvl>
    <w:lvl w:ilvl="2" w:tplc="4184C934">
      <w:start w:val="1"/>
      <w:numFmt w:val="bullet"/>
      <w:lvlText w:val="•"/>
      <w:lvlJc w:val="left"/>
      <w:pPr>
        <w:tabs>
          <w:tab w:val="num" w:pos="2226"/>
        </w:tabs>
        <w:ind w:left="2226" w:hanging="360"/>
      </w:pPr>
      <w:rPr>
        <w:rFonts w:ascii="Times New Roman" w:hAnsi="Times New Roman" w:hint="default"/>
      </w:rPr>
    </w:lvl>
    <w:lvl w:ilvl="3" w:tplc="4D307814" w:tentative="1">
      <w:start w:val="1"/>
      <w:numFmt w:val="bullet"/>
      <w:lvlText w:val="•"/>
      <w:lvlJc w:val="left"/>
      <w:pPr>
        <w:tabs>
          <w:tab w:val="num" w:pos="2946"/>
        </w:tabs>
        <w:ind w:left="2946" w:hanging="360"/>
      </w:pPr>
      <w:rPr>
        <w:rFonts w:ascii="Times New Roman" w:hAnsi="Times New Roman" w:hint="default"/>
      </w:rPr>
    </w:lvl>
    <w:lvl w:ilvl="4" w:tplc="3D987FA4" w:tentative="1">
      <w:start w:val="1"/>
      <w:numFmt w:val="bullet"/>
      <w:lvlText w:val="•"/>
      <w:lvlJc w:val="left"/>
      <w:pPr>
        <w:tabs>
          <w:tab w:val="num" w:pos="3666"/>
        </w:tabs>
        <w:ind w:left="3666" w:hanging="360"/>
      </w:pPr>
      <w:rPr>
        <w:rFonts w:ascii="Times New Roman" w:hAnsi="Times New Roman" w:hint="default"/>
      </w:rPr>
    </w:lvl>
    <w:lvl w:ilvl="5" w:tplc="2A80B376" w:tentative="1">
      <w:start w:val="1"/>
      <w:numFmt w:val="bullet"/>
      <w:lvlText w:val="•"/>
      <w:lvlJc w:val="left"/>
      <w:pPr>
        <w:tabs>
          <w:tab w:val="num" w:pos="4386"/>
        </w:tabs>
        <w:ind w:left="4386" w:hanging="360"/>
      </w:pPr>
      <w:rPr>
        <w:rFonts w:ascii="Times New Roman" w:hAnsi="Times New Roman" w:hint="default"/>
      </w:rPr>
    </w:lvl>
    <w:lvl w:ilvl="6" w:tplc="572E12DA" w:tentative="1">
      <w:start w:val="1"/>
      <w:numFmt w:val="bullet"/>
      <w:lvlText w:val="•"/>
      <w:lvlJc w:val="left"/>
      <w:pPr>
        <w:tabs>
          <w:tab w:val="num" w:pos="5106"/>
        </w:tabs>
        <w:ind w:left="5106" w:hanging="360"/>
      </w:pPr>
      <w:rPr>
        <w:rFonts w:ascii="Times New Roman" w:hAnsi="Times New Roman" w:hint="default"/>
      </w:rPr>
    </w:lvl>
    <w:lvl w:ilvl="7" w:tplc="832A6110" w:tentative="1">
      <w:start w:val="1"/>
      <w:numFmt w:val="bullet"/>
      <w:lvlText w:val="•"/>
      <w:lvlJc w:val="left"/>
      <w:pPr>
        <w:tabs>
          <w:tab w:val="num" w:pos="5826"/>
        </w:tabs>
        <w:ind w:left="5826" w:hanging="360"/>
      </w:pPr>
      <w:rPr>
        <w:rFonts w:ascii="Times New Roman" w:hAnsi="Times New Roman" w:hint="default"/>
      </w:rPr>
    </w:lvl>
    <w:lvl w:ilvl="8" w:tplc="FA68FD8A" w:tentative="1">
      <w:start w:val="1"/>
      <w:numFmt w:val="bullet"/>
      <w:lvlText w:val="•"/>
      <w:lvlJc w:val="left"/>
      <w:pPr>
        <w:tabs>
          <w:tab w:val="num" w:pos="6546"/>
        </w:tabs>
        <w:ind w:left="6546" w:hanging="360"/>
      </w:pPr>
      <w:rPr>
        <w:rFonts w:ascii="Times New Roman" w:hAnsi="Times New Roman" w:hint="default"/>
      </w:rPr>
    </w:lvl>
  </w:abstractNum>
  <w:abstractNum w:abstractNumId="8">
    <w:nsid w:val="536B0246"/>
    <w:multiLevelType w:val="multilevel"/>
    <w:tmpl w:val="F17A88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7E498A"/>
    <w:multiLevelType w:val="hybridMultilevel"/>
    <w:tmpl w:val="EAAA2E44"/>
    <w:lvl w:ilvl="0" w:tplc="F2182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2F1B50"/>
    <w:multiLevelType w:val="multilevel"/>
    <w:tmpl w:val="228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0755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1"/>
  </w:num>
  <w:num w:numId="4">
    <w:abstractNumId w:val="6"/>
  </w:num>
  <w:num w:numId="5">
    <w:abstractNumId w:val="8"/>
  </w:num>
  <w:num w:numId="6">
    <w:abstractNumId w:val="4"/>
  </w:num>
  <w:num w:numId="7">
    <w:abstractNumId w:val="3"/>
  </w:num>
  <w:num w:numId="8">
    <w:abstractNumId w:val="10"/>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05"/>
    <w:rsid w:val="00142E4B"/>
    <w:rsid w:val="00321305"/>
    <w:rsid w:val="004B4A4D"/>
    <w:rsid w:val="00577A25"/>
    <w:rsid w:val="006C0B77"/>
    <w:rsid w:val="008242FF"/>
    <w:rsid w:val="00870751"/>
    <w:rsid w:val="008B4263"/>
    <w:rsid w:val="00922C48"/>
    <w:rsid w:val="00973C6A"/>
    <w:rsid w:val="009B69E9"/>
    <w:rsid w:val="009D682B"/>
    <w:rsid w:val="00A0053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9"/>
    <w:qFormat/>
    <w:rsid w:val="009B69E9"/>
    <w:pPr>
      <w:keepNext/>
      <w:keepLines/>
      <w:spacing w:before="480" w:after="0" w:line="259" w:lineRule="auto"/>
      <w:outlineLvl w:val="0"/>
    </w:pPr>
    <w:rPr>
      <w:rFonts w:eastAsia="Times New Roman" w:cs="Times New Roman"/>
      <w:b/>
      <w:bCs/>
      <w:szCs w:val="28"/>
    </w:rPr>
  </w:style>
  <w:style w:type="paragraph" w:styleId="2">
    <w:name w:val="heading 2"/>
    <w:basedOn w:val="a"/>
    <w:next w:val="a"/>
    <w:link w:val="20"/>
    <w:uiPriority w:val="99"/>
    <w:qFormat/>
    <w:rsid w:val="009B69E9"/>
    <w:pPr>
      <w:keepNext/>
      <w:keepLines/>
      <w:spacing w:before="200" w:after="0" w:line="259" w:lineRule="auto"/>
      <w:ind w:left="708"/>
      <w:outlineLvl w:val="1"/>
    </w:pPr>
    <w:rPr>
      <w:rFonts w:eastAsia="Times New Roman" w:cs="Times New Roman"/>
      <w:bCs/>
      <w:i/>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69E9"/>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9B69E9"/>
    <w:rPr>
      <w:rFonts w:ascii="Times New Roman" w:eastAsia="Times New Roman" w:hAnsi="Times New Roman" w:cs="Times New Roman"/>
      <w:bCs/>
      <w:i/>
      <w:color w:val="000000"/>
      <w:sz w:val="28"/>
      <w:szCs w:val="26"/>
    </w:rPr>
  </w:style>
  <w:style w:type="paragraph" w:styleId="a3">
    <w:name w:val="List Paragraph"/>
    <w:basedOn w:val="a"/>
    <w:uiPriority w:val="1"/>
    <w:qFormat/>
    <w:rsid w:val="009B69E9"/>
    <w:pPr>
      <w:spacing w:line="259" w:lineRule="auto"/>
      <w:ind w:left="720"/>
      <w:contextualSpacing/>
    </w:pPr>
    <w:rPr>
      <w:rFonts w:eastAsia="Calibri" w:cs="Times New Roman"/>
    </w:rPr>
  </w:style>
  <w:style w:type="paragraph" w:customStyle="1" w:styleId="TableParagraph">
    <w:name w:val="Table Paragraph"/>
    <w:basedOn w:val="a"/>
    <w:uiPriority w:val="1"/>
    <w:qFormat/>
    <w:rsid w:val="009B69E9"/>
    <w:pPr>
      <w:widowControl w:val="0"/>
      <w:autoSpaceDE w:val="0"/>
      <w:autoSpaceDN w:val="0"/>
      <w:spacing w:after="0"/>
      <w:ind w:left="107"/>
    </w:pPr>
    <w:rPr>
      <w:rFonts w:eastAsia="Times New Roman" w:cs="Times New Roman"/>
      <w:sz w:val="22"/>
    </w:rPr>
  </w:style>
  <w:style w:type="paragraph" w:styleId="a4">
    <w:name w:val="Normal (Web)"/>
    <w:basedOn w:val="a"/>
    <w:uiPriority w:val="99"/>
    <w:unhideWhenUsed/>
    <w:rsid w:val="009B69E9"/>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9"/>
    <w:qFormat/>
    <w:rsid w:val="009B69E9"/>
    <w:pPr>
      <w:keepNext/>
      <w:keepLines/>
      <w:spacing w:before="480" w:after="0" w:line="259" w:lineRule="auto"/>
      <w:outlineLvl w:val="0"/>
    </w:pPr>
    <w:rPr>
      <w:rFonts w:eastAsia="Times New Roman" w:cs="Times New Roman"/>
      <w:b/>
      <w:bCs/>
      <w:szCs w:val="28"/>
    </w:rPr>
  </w:style>
  <w:style w:type="paragraph" w:styleId="2">
    <w:name w:val="heading 2"/>
    <w:basedOn w:val="a"/>
    <w:next w:val="a"/>
    <w:link w:val="20"/>
    <w:uiPriority w:val="99"/>
    <w:qFormat/>
    <w:rsid w:val="009B69E9"/>
    <w:pPr>
      <w:keepNext/>
      <w:keepLines/>
      <w:spacing w:before="200" w:after="0" w:line="259" w:lineRule="auto"/>
      <w:ind w:left="708"/>
      <w:outlineLvl w:val="1"/>
    </w:pPr>
    <w:rPr>
      <w:rFonts w:eastAsia="Times New Roman" w:cs="Times New Roman"/>
      <w:bCs/>
      <w:i/>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69E9"/>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9B69E9"/>
    <w:rPr>
      <w:rFonts w:ascii="Times New Roman" w:eastAsia="Times New Roman" w:hAnsi="Times New Roman" w:cs="Times New Roman"/>
      <w:bCs/>
      <w:i/>
      <w:color w:val="000000"/>
      <w:sz w:val="28"/>
      <w:szCs w:val="26"/>
    </w:rPr>
  </w:style>
  <w:style w:type="paragraph" w:styleId="a3">
    <w:name w:val="List Paragraph"/>
    <w:basedOn w:val="a"/>
    <w:uiPriority w:val="1"/>
    <w:qFormat/>
    <w:rsid w:val="009B69E9"/>
    <w:pPr>
      <w:spacing w:line="259" w:lineRule="auto"/>
      <w:ind w:left="720"/>
      <w:contextualSpacing/>
    </w:pPr>
    <w:rPr>
      <w:rFonts w:eastAsia="Calibri" w:cs="Times New Roman"/>
    </w:rPr>
  </w:style>
  <w:style w:type="paragraph" w:customStyle="1" w:styleId="TableParagraph">
    <w:name w:val="Table Paragraph"/>
    <w:basedOn w:val="a"/>
    <w:uiPriority w:val="1"/>
    <w:qFormat/>
    <w:rsid w:val="009B69E9"/>
    <w:pPr>
      <w:widowControl w:val="0"/>
      <w:autoSpaceDE w:val="0"/>
      <w:autoSpaceDN w:val="0"/>
      <w:spacing w:after="0"/>
      <w:ind w:left="107"/>
    </w:pPr>
    <w:rPr>
      <w:rFonts w:eastAsia="Times New Roman" w:cs="Times New Roman"/>
      <w:sz w:val="22"/>
    </w:rPr>
  </w:style>
  <w:style w:type="paragraph" w:styleId="a4">
    <w:name w:val="Normal (Web)"/>
    <w:basedOn w:val="a"/>
    <w:uiPriority w:val="99"/>
    <w:unhideWhenUsed/>
    <w:rsid w:val="009B69E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Михайлова Л.К.</cp:lastModifiedBy>
  <cp:revision>2</cp:revision>
  <dcterms:created xsi:type="dcterms:W3CDTF">2023-06-05T11:05:00Z</dcterms:created>
  <dcterms:modified xsi:type="dcterms:W3CDTF">2023-06-05T11:05:00Z</dcterms:modified>
</cp:coreProperties>
</file>