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2.wmf" ContentType="image/x-wmf"/>
  <Override PartName="/word/media/image1.wmf" ContentType="image/x-wmf"/>
  <Override PartName="/word/media/image4.jpeg" ContentType="image/jpeg"/>
  <Override PartName="/word/media/image3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object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position:absolute;margin-left:-39.05pt;margin-top:5.4pt;width:138.55pt;height:78.05pt;mso-wrap-distance-right:0pt;mso-position-horizontal-relative:text;mso-position-vertical-relative:text" filled="f" o:ole="">
            <v:imagedata r:id="rId3" o:title=""/>
            <w10:wrap type="square"/>
          </v:shape>
          <o:OLEObject Type="Embed" ProgID="Photoshop.Image.10" ShapeID="ole_rId2" DrawAspect="Content" ObjectID="_1730800091" r:id="rId2"/>
        </w:object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117.25pt;margin-top:3.9pt;width:127.2pt;height:95.15pt;mso-wrap-distance-right:0pt;mso-position-horizontal-relative:text;mso-position-vertical-relative:text" filled="f" o:ole="">
            <v:imagedata r:id="rId5" o:title=""/>
            <w10:wrap type="square"/>
          </v:shape>
          <o:OLEObject Type="Embed" ProgID="Photoshop.Image.10" ShapeID="ole_rId4" DrawAspect="Content" ObjectID="_772051460" r:id="rId4"/>
        </w:object>
        <w:object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position:absolute;margin-left:272.05pt;margin-top:9.9pt;width:87.15pt;height:87.2pt;mso-wrap-distance-right:0pt;mso-position-horizontal-relative:text;mso-position-vertical-relative:text" filled="f" o:ole="">
            <v:imagedata r:id="rId7" o:title=""/>
            <w10:wrap type="square"/>
          </v:shape>
          <o:OLEObject Type="Embed" ProgID="Photoshop.Image.10" ShapeID="ole_rId6" DrawAspect="Content" ObjectID="_1777988996" r:id="rId6"/>
        </w:object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4967605</wp:posOffset>
            </wp:positionH>
            <wp:positionV relativeFrom="paragraph">
              <wp:posOffset>86360</wp:posOffset>
            </wp:positionV>
            <wp:extent cx="1169670" cy="11696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МИНИСТЕРСТВО ПРОСВЕЩЕНИЯ РОССИЙСКОЙ ФЕДЕРАЦИИ</w:t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ФГБОУ ВО «АЗОВСКИЙ ГОСУДАРСТВЕННЫЙ ПЕДАГОГИЧЕСКИЙ УНИВЕРСИТЕТ» (г. Бердянск)</w:t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ФГБОУ ВО «МЕЛИТОПОЛЬСКИЙ ГОСУДАРСТВЕННЫЙ УНИВЕРСИТЕТ»</w:t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(г. Мелитополь)</w:t>
      </w:r>
    </w:p>
    <w:p>
      <w:pPr>
        <w:pStyle w:val="Normal"/>
        <w:spacing w:lineRule="auto" w:line="360"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Общественная палата Запорожской области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i/>
          <w:i/>
          <w:color w:val="FF0000"/>
          <w:sz w:val="28"/>
          <w:szCs w:val="28"/>
        </w:rPr>
      </w:pPr>
      <w:r>
        <w:rPr>
          <w:rFonts w:cs="Times New Roman" w:ascii="Times New Roman" w:hAnsi="Times New Roman"/>
          <w:i/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Уважаемые коллеги!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312" w:before="0" w:after="0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Приглашаем Вас принять участие в научно-практической конференции </w:t>
      </w:r>
      <w:r>
        <w:rPr>
          <w:rFonts w:cs="Times New Roman" w:ascii="Times New Roman" w:hAnsi="Times New Roman"/>
          <w:sz w:val="28"/>
        </w:rPr>
        <w:br/>
      </w:r>
      <w:r>
        <w:rPr>
          <w:rFonts w:cs="Times New Roman" w:ascii="Times New Roman" w:hAnsi="Times New Roman"/>
          <w:sz w:val="28"/>
          <w:szCs w:val="28"/>
        </w:rPr>
        <w:t xml:space="preserve">6-7 сентября 2023 года на базе Азовского государственного педагогического университета «СОХРАНЕНИЕ МИРА И ЕДИНСТВА СЛАВЯНСКИХ НАРОДОВ В  УСЛОВИЯХ ИНТЕГРАЦИИ НОВЫХ СУБЪЕКТОВ В ОБЩЕРОССИЙСКОЕ  ПРОСТРАНСТВО». </w:t>
      </w:r>
    </w:p>
    <w:p>
      <w:pPr>
        <w:pStyle w:val="Normal"/>
        <w:spacing w:lineRule="auto" w:line="312" w:before="0"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работе конференции запланировано участие представителей Министерства Просвещения Российской Федерации, научных сотрудников, преподавателей, учителей российских государственных образовательных учреждений, докторантов, аспирантов, соискателей, студентов, представителей власти, гражданского общества, неформального образования, широкой общественности. </w:t>
      </w:r>
    </w:p>
    <w:p>
      <w:pPr>
        <w:pStyle w:val="Normal"/>
        <w:spacing w:lineRule="auto" w:line="312" w:before="0"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 рамках конференции запланированы пленарное заседание, работа тематических секций, «круглого стола», которые станут площадкой научной коммуникации, обмена опытом по проектированию и организации общественно-педагогической и просветительской деятельности  в соответствии с общенациональными приоритетами и особенностями регионального контекста.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Выполнение в новых условиях генеральной задачи российской системы  образования – развитие личности как гражданина, активного субъекта национальной культуры, усвоившего интеллектуально-инновационные и социально-духовные императивы жизнедеятельности, – требует от науки </w:t>
      </w:r>
      <w:r>
        <w:rPr>
          <w:rFonts w:eastAsia="BatangChe" w:cs="Times New Roman" w:ascii="Times New Roman" w:hAnsi="Times New Roman"/>
          <w:color w:val="000000" w:themeColor="text1"/>
          <w:sz w:val="28"/>
        </w:rPr>
        <w:t xml:space="preserve"> обсуждения широкого спектра теоретических и практических проблем: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особенности интеграции «новых регионов» в общероссийское пространство; </w:t>
      </w:r>
      <w:r>
        <w:rPr>
          <w:rFonts w:eastAsia="BatangChe" w:cs="Times New Roman" w:ascii="Times New Roman" w:hAnsi="Times New Roman"/>
          <w:color w:val="000000" w:themeColor="text1"/>
          <w:sz w:val="28"/>
        </w:rPr>
        <w:t>сочетание федерального и национально-регионального компонентов развития образования и культуры; выявление в истории и современности лучших социальных, педагогических, культурных, религиозных практик  единения народов Приазовья;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 перспективы консолидации народов, власти и гражданского общества на основе </w:t>
      </w:r>
      <w:r>
        <w:rPr>
          <w:rFonts w:eastAsia="BatangChe" w:cs="Times New Roman" w:ascii="Times New Roman" w:hAnsi="Times New Roman"/>
          <w:color w:val="000000" w:themeColor="text1"/>
          <w:sz w:val="28"/>
        </w:rPr>
        <w:t xml:space="preserve"> понимания, принятия норм и сакральных оснований единения людей во имя выживания. </w:t>
      </w:r>
    </w:p>
    <w:p>
      <w:pPr>
        <w:pStyle w:val="Normal"/>
        <w:spacing w:lineRule="auto" w:line="312" w:before="0" w:after="0"/>
        <w:contextualSpacing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312" w:before="0" w:after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Основные направления работы конференции:</w:t>
      </w:r>
    </w:p>
    <w:p>
      <w:pPr>
        <w:pStyle w:val="NoSpacing"/>
        <w:spacing w:lineRule="auto" w:line="312" w:before="0" w:after="200"/>
        <w:ind w:firstLine="567"/>
        <w:contextualSpacing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pacing w:val="-2"/>
          <w:sz w:val="28"/>
          <w:szCs w:val="28"/>
          <w:lang w:eastAsia="ru-RU"/>
        </w:rPr>
        <w:t xml:space="preserve">* Вопросы сохранения мира и единства народов в научно-образовательных концепциях и стратегиях: синергия  «макро» и «микро» уровней социальности. 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pacing w:val="-2"/>
          <w:sz w:val="28"/>
          <w:szCs w:val="28"/>
          <w:lang w:eastAsia="ru-RU"/>
        </w:rPr>
        <w:t>* Научно-методологическое, педагогическое  и методическое сопровождение эффективной реализации общенациональных и региональных, формальных и неформальных программ консолидации гражданского общества.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pacing w:val="-2"/>
          <w:sz w:val="28"/>
          <w:szCs w:val="28"/>
          <w:lang w:eastAsia="ru-RU"/>
        </w:rPr>
        <w:t xml:space="preserve">* Социально-культурное, национально-этническое, хозяйственно-экономическое, территориально-географическое своеобразие Приазовья как возможность устойчивого развития: историческая рефлексия. 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pacing w:val="-2"/>
          <w:sz w:val="28"/>
          <w:szCs w:val="28"/>
          <w:lang w:eastAsia="ru-RU"/>
        </w:rPr>
        <w:t>* Законодательное обеспечение социально-экономического, культурного развития народов Приазовья.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pacing w:val="-2"/>
          <w:sz w:val="28"/>
          <w:szCs w:val="28"/>
          <w:lang w:eastAsia="ru-RU"/>
        </w:rPr>
        <w:t>* Место и роль национально-культурных, религиозных, общественных организаций в консолидации общества: поиск перспективных моделей взаимопонимания.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pacing w:val="-2"/>
          <w:sz w:val="28"/>
          <w:szCs w:val="28"/>
          <w:lang w:eastAsia="ru-RU"/>
        </w:rPr>
        <w:t xml:space="preserve">* История и современность в диалоге  субъектов культурно-образовательного пространства педагогического университета. 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pacing w:val="-2"/>
          <w:sz w:val="28"/>
          <w:szCs w:val="28"/>
          <w:lang w:eastAsia="ru-RU"/>
        </w:rPr>
        <w:t>* Мониторинг программ, пособий подготовки будущих специалистов к коммуникативным технологиям соединения интересов личности, региона, страны.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Формат проведения: </w:t>
      </w:r>
      <w:r>
        <w:rPr>
          <w:rFonts w:cs="Times New Roman" w:ascii="Times New Roman" w:hAnsi="Times New Roman"/>
          <w:color w:val="000000" w:themeColor="text1"/>
          <w:sz w:val="28"/>
        </w:rPr>
        <w:t>очно-дистанционный.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cs="Times New Roman" w:ascii="Times New Roman" w:hAnsi="Times New Roman"/>
          <w:sz w:val="28"/>
        </w:rPr>
        <w:t xml:space="preserve">Материалы конференции будут изданы в сборнике тезисов докладов и коллективной монографии. Запланирована электронная рассылка сборника. Оргкомитет оставляет за собой право отклонять материалы, </w:t>
        <w:br/>
        <w:t xml:space="preserve">не соответствующие требованиям или тематике конференции, и распределять </w:t>
        <w:br/>
        <w:t xml:space="preserve">их по секциям. За содержание публикаций и достоверность результатов исследований ответственность возлагается на авторов. </w:t>
      </w:r>
    </w:p>
    <w:p>
      <w:pPr>
        <w:pStyle w:val="NoSpacing"/>
        <w:spacing w:lineRule="auto" w:line="312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ab/>
        <w:t xml:space="preserve">Для участия в конференции необходимо до </w:t>
      </w:r>
      <w:r>
        <w:rPr>
          <w:rFonts w:cs="Times New Roman" w:ascii="Times New Roman" w:hAnsi="Times New Roman"/>
          <w:sz w:val="28"/>
          <w:u w:val="single"/>
        </w:rPr>
        <w:t>30 августа</w:t>
      </w:r>
      <w:r>
        <w:rPr>
          <w:rFonts w:cs="Times New Roman" w:ascii="Times New Roman" w:hAnsi="Times New Roman"/>
          <w:sz w:val="28"/>
        </w:rPr>
        <w:t xml:space="preserve"> 2023 года (включительно) прислать на электронный адрес </w:t>
      </w:r>
      <w:r>
        <w:rPr>
          <w:rFonts w:cs="Times New Roman" w:ascii="Times New Roman" w:hAnsi="Times New Roman"/>
          <w:b/>
          <w:sz w:val="28"/>
        </w:rPr>
        <w:t>agpu.brd.conf@mail.ru</w:t>
      </w:r>
      <w:r>
        <w:rPr>
          <w:rFonts w:cs="Times New Roman" w:ascii="Times New Roman" w:hAnsi="Times New Roman"/>
          <w:sz w:val="28"/>
        </w:rPr>
        <w:t xml:space="preserve"> материалы:</w:t>
      </w:r>
    </w:p>
    <w:p>
      <w:pPr>
        <w:pStyle w:val="NoSpacing"/>
        <w:numPr>
          <w:ilvl w:val="0"/>
          <w:numId w:val="3"/>
        </w:numPr>
        <w:spacing w:lineRule="auto" w:line="312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заявку участника (образец – приложение 1), название файла: Иванов_заявка;</w:t>
      </w:r>
    </w:p>
    <w:p>
      <w:pPr>
        <w:pStyle w:val="NoSpacing"/>
        <w:numPr>
          <w:ilvl w:val="0"/>
          <w:numId w:val="3"/>
        </w:numPr>
        <w:spacing w:lineRule="auto" w:line="312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тезисы доклада (2-5 полных страницы, образец – приложение 2), название файла: Иванов_тезисы.</w:t>
      </w:r>
    </w:p>
    <w:p>
      <w:pPr>
        <w:pStyle w:val="NoSpacing"/>
        <w:numPr>
          <w:ilvl w:val="0"/>
          <w:numId w:val="3"/>
        </w:numPr>
        <w:spacing w:lineRule="auto" w:line="312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и (или) текст для коллективной монографии (объема – 1 печатный лист (40000 знаков, условно 24 стр. А-4). название файла: Иванов_монография.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Организационный комитет конференции:</w:t>
      </w:r>
    </w:p>
    <w:p>
      <w:pPr>
        <w:pStyle w:val="NoSpacing"/>
        <w:spacing w:lineRule="auto" w:line="312"/>
        <w:ind w:firstLine="567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eastAsia="Wingdings" w:cs="Wingdings" w:ascii="Wingdings" w:hAnsi="Wingdings"/>
          <w:color w:val="000000" w:themeColor="text1"/>
          <w:sz w:val="28"/>
        </w:rPr>
        <w:t></w:t>
      </w:r>
      <w:r>
        <w:rPr>
          <w:rFonts w:cs="Times New Roman" w:ascii="Times New Roman" w:hAnsi="Times New Roman"/>
          <w:color w:val="000000" w:themeColor="text1"/>
          <w:sz w:val="28"/>
        </w:rPr>
        <w:t xml:space="preserve">+7990 027-12-49 (Троицкая Елена Михайловна –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д-р филос. наук</w:t>
      </w:r>
      <w:r>
        <w:rPr>
          <w:rFonts w:cs="Times New Roman" w:ascii="Times New Roman" w:hAnsi="Times New Roman"/>
          <w:color w:val="000000" w:themeColor="text1"/>
          <w:sz w:val="28"/>
        </w:rPr>
        <w:t>, проф.,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заведующая кафедрой истории и обществоведческих дисциплин);</w:t>
      </w:r>
    </w:p>
    <w:p>
      <w:pPr>
        <w:pStyle w:val="NoSpacing"/>
        <w:spacing w:lineRule="auto" w:line="312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cs="Times New Roman" w:ascii="Times New Roman" w:hAnsi="Times New Roman"/>
          <w:color w:val="000000" w:themeColor="text1"/>
          <w:sz w:val="28"/>
        </w:rPr>
        <w:tab/>
      </w:r>
      <w:r>
        <w:rPr>
          <w:rFonts w:eastAsia="Wingdings" w:cs="Wingdings" w:ascii="Wingdings" w:hAnsi="Wingdings"/>
          <w:color w:val="000000" w:themeColor="text1"/>
          <w:sz w:val="28"/>
        </w:rPr>
        <w:t></w:t>
      </w:r>
      <w:r>
        <w:rPr>
          <w:rFonts w:cs="Times New Roman" w:ascii="Times New Roman" w:hAnsi="Times New Roman"/>
          <w:color w:val="000000" w:themeColor="text1"/>
          <w:sz w:val="28"/>
        </w:rPr>
        <w:t xml:space="preserve"> +7990 023-82-12 (Червенко Оксана Борисовна – канд. филол. наук, доцент, заведующая кафедрой русского языка, литературы и методики преподавания);</w:t>
      </w:r>
    </w:p>
    <w:p>
      <w:pPr>
        <w:pStyle w:val="NoSpacing"/>
        <w:spacing w:lineRule="auto" w:line="312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cs="Times New Roman" w:ascii="Times New Roman" w:hAnsi="Times New Roman"/>
          <w:color w:val="000000" w:themeColor="text1"/>
          <w:sz w:val="28"/>
        </w:rPr>
        <w:tab/>
      </w:r>
      <w:r>
        <w:rPr>
          <w:rFonts w:eastAsia="Wingdings" w:cs="Wingdings" w:ascii="Wingdings" w:hAnsi="Wingdings"/>
          <w:color w:val="000000" w:themeColor="text1"/>
          <w:sz w:val="28"/>
        </w:rPr>
        <w:t></w:t>
      </w:r>
      <w:r>
        <w:rPr>
          <w:rFonts w:cs="Times New Roman" w:ascii="Times New Roman" w:hAnsi="Times New Roman"/>
          <w:color w:val="000000" w:themeColor="text1"/>
          <w:sz w:val="28"/>
        </w:rPr>
        <w:t xml:space="preserve"> +7990 028-33-53 (Камаев Тимур Евгеньевич – проректор по молодежной политике).</w:t>
      </w:r>
    </w:p>
    <w:p>
      <w:pPr>
        <w:pStyle w:val="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31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color w:val="FF0000"/>
          <w:sz w:val="28"/>
          <w:szCs w:val="28"/>
        </w:rPr>
      </w:r>
      <w:r>
        <w:br w:type="page"/>
      </w:r>
    </w:p>
    <w:p>
      <w:pPr>
        <w:pStyle w:val="Style18"/>
        <w:spacing w:lineRule="auto" w:line="240"/>
        <w:ind w:hanging="0"/>
        <w:jc w:val="right"/>
        <w:rPr>
          <w:b/>
          <w:b/>
          <w:i/>
          <w:i/>
          <w:spacing w:val="0"/>
          <w:szCs w:val="28"/>
          <w:lang w:val="ru-RU"/>
        </w:rPr>
      </w:pPr>
      <w:r>
        <w:rPr>
          <w:b/>
          <w:i/>
          <w:spacing w:val="0"/>
          <w:szCs w:val="28"/>
          <w:lang w:val="ru-RU"/>
        </w:rPr>
        <w:t>Приложение 1</w:t>
      </w:r>
    </w:p>
    <w:p>
      <w:pPr>
        <w:pStyle w:val="Style18"/>
        <w:spacing w:lineRule="auto" w:line="240"/>
        <w:ind w:hanging="0"/>
        <w:jc w:val="right"/>
        <w:rPr>
          <w:b/>
          <w:b/>
          <w:i/>
          <w:i/>
          <w:spacing w:val="0"/>
          <w:szCs w:val="28"/>
          <w:lang w:val="ru-RU"/>
        </w:rPr>
      </w:pPr>
      <w:r>
        <w:rPr>
          <w:b/>
          <w:i/>
          <w:spacing w:val="0"/>
          <w:szCs w:val="28"/>
          <w:lang w:val="ru-RU"/>
        </w:rPr>
      </w:r>
    </w:p>
    <w:p>
      <w:pPr>
        <w:pStyle w:val="Style18"/>
        <w:shd w:val="clear" w:color="auto" w:fill="EAF1DD"/>
        <w:spacing w:lineRule="auto" w:line="240"/>
        <w:ind w:hanging="0"/>
        <w:jc w:val="center"/>
        <w:rPr>
          <w:b/>
          <w:b/>
          <w:spacing w:val="0"/>
          <w:szCs w:val="28"/>
          <w:lang w:val="ru-RU"/>
        </w:rPr>
      </w:pPr>
      <w:r>
        <w:rPr>
          <w:b/>
          <w:spacing w:val="0"/>
          <w:szCs w:val="28"/>
          <w:lang w:val="ru-RU"/>
        </w:rPr>
        <w:t>ОБРАЗЦЫ ОФОРМЛЕНИЯ: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Заявка 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участие в </w:t>
      </w:r>
      <w:r>
        <w:rPr>
          <w:rFonts w:cs="Times New Roman" w:ascii="Times New Roman" w:hAnsi="Times New Roman"/>
          <w:sz w:val="28"/>
          <w:szCs w:val="28"/>
        </w:rPr>
        <w:t>конференции «СОХРАНЕНИЕ МИРА И ЕДИНСТВА СЛАВЯНСКИХ НАРОДОВ В  УСЛОВИЯХ ИНТЕГРАЦИИ НОВЫХ СУБЪЕКТОВ В ОБЩЕРОССИЙСКОЕ  ПРОСТРАНСТВО».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W w:w="99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455"/>
        <w:gridCol w:w="4444"/>
      </w:tblGrid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Страна и город проживания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Организация, место работы (полное название и аббревиатура), должность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Ученая степень‚ звание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с указанием индекса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Е-mail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доклада (выступления)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pacing w:val="-4"/>
                <w:sz w:val="28"/>
                <w:szCs w:val="28"/>
              </w:rPr>
              <w:t>Тематическое направление конференции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pacing w:val="-4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Потребность в гостинице (да, нет)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участия в научном мероприятии: публикация материалов без личного участия; публикация материалов; устный доклад; устный доклад без публикации;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Необходимые технические средства для демонстрации материала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Участник: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подтверждаю, что материалы, представленные для публикации на тему: «______________» не публиковалась и не печаталась в других научных изданиях, не находятся на рассмотрении в других периодических изданиях.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ознакомился с требованиями к подаче и оформлению научных материалов, соглашаюсь на публикацию в сборнике материалов конференции.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соглашаюсь на использование публикации в электронных базах данных, куда включены периодические издания Вашего Университета.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708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  </w:t>
        <w:tab/>
        <w:tab/>
        <w:tab/>
        <w:tab/>
        <w:tab/>
        <w:t xml:space="preserve">______________ </w:t>
        <w:tab/>
        <w:t>______________</w:t>
      </w:r>
    </w:p>
    <w:p>
      <w:pPr>
        <w:pStyle w:val="Normal"/>
        <w:spacing w:lineRule="auto" w:line="240" w:before="0" w:after="0"/>
        <w:ind w:left="708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  <w:tab/>
        <w:tab/>
        <w:tab/>
        <w:tab/>
        <w:tab/>
        <w:tab/>
        <w:tab/>
        <w:t xml:space="preserve">подпись </w:t>
        <w:tab/>
        <w:t>(И.О. Фамилия)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Indent"/>
        <w:tabs>
          <w:tab w:val="clear" w:pos="567"/>
          <w:tab w:val="left" w:pos="0" w:leader="none"/>
          <w:tab w:val="left" w:pos="5103" w:leader="none"/>
        </w:tabs>
        <w:ind w:left="0" w:hanging="0"/>
        <w:jc w:val="right"/>
        <w:rPr>
          <w:b/>
          <w:b/>
          <w:i/>
          <w:i/>
          <w:szCs w:val="28"/>
          <w:lang w:val="ru-RU"/>
        </w:rPr>
      </w:pPr>
      <w:r>
        <w:rPr>
          <w:b/>
          <w:i/>
          <w:szCs w:val="28"/>
          <w:lang w:val="ru-RU"/>
        </w:rPr>
        <w:t>Приложение 2</w:t>
      </w:r>
    </w:p>
    <w:p>
      <w:pPr>
        <w:pStyle w:val="NormalIndent"/>
        <w:tabs>
          <w:tab w:val="clear" w:pos="567"/>
          <w:tab w:val="left" w:pos="0" w:leader="none"/>
          <w:tab w:val="left" w:pos="5103" w:leader="none"/>
        </w:tabs>
        <w:ind w:left="0" w:hanging="0"/>
        <w:jc w:val="right"/>
        <w:rPr>
          <w:b/>
          <w:b/>
          <w:i/>
          <w:i/>
          <w:szCs w:val="28"/>
          <w:lang w:val="ru-RU"/>
        </w:rPr>
      </w:pPr>
      <w:r>
        <w:rPr>
          <w:b/>
          <w:i/>
          <w:szCs w:val="28"/>
          <w:lang w:val="ru-RU"/>
        </w:rPr>
      </w:r>
    </w:p>
    <w:p>
      <w:pPr>
        <w:pStyle w:val="NormalIndent"/>
        <w:shd w:val="clear" w:color="auto" w:fill="EAF1DD"/>
        <w:ind w:left="0" w:firstLine="567"/>
        <w:jc w:val="left"/>
        <w:rPr>
          <w:rFonts w:eastAsia="TimesNewRomanPSMT"/>
          <w:b/>
          <w:b/>
          <w:i/>
          <w:i/>
          <w:caps/>
          <w:szCs w:val="28"/>
          <w:lang w:val="ru-RU"/>
        </w:rPr>
      </w:pPr>
      <w:r>
        <w:rPr>
          <w:b/>
          <w:i/>
          <w:szCs w:val="28"/>
          <w:lang w:val="ru-RU"/>
        </w:rPr>
        <w:t>Техническое оформление текста тезисов</w:t>
      </w:r>
      <w:r>
        <w:rPr>
          <w:rFonts w:eastAsia="TimesNewRomanPSMT"/>
          <w:b/>
          <w:i/>
          <w:caps/>
          <w:szCs w:val="28"/>
          <w:lang w:val="ru-RU"/>
        </w:rPr>
        <w:t>:</w:t>
      </w:r>
    </w:p>
    <w:p>
      <w:pPr>
        <w:pStyle w:val="NormalIndent"/>
        <w:shd w:val="clear" w:color="auto" w:fill="EAF1DD"/>
        <w:ind w:left="0" w:firstLine="567"/>
        <w:jc w:val="left"/>
        <w:rPr>
          <w:rFonts w:eastAsia="TimesNewRomanPSMT"/>
          <w:b/>
          <w:b/>
          <w:i/>
          <w:i/>
          <w:caps/>
          <w:szCs w:val="28"/>
          <w:lang w:val="ru-RU"/>
        </w:rPr>
      </w:pPr>
      <w:r>
        <w:rPr>
          <w:rFonts w:eastAsia="TimesNewRomanPSMT"/>
          <w:b/>
          <w:i/>
          <w:caps/>
          <w:szCs w:val="28"/>
          <w:lang w:val="ru-RU"/>
        </w:rPr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42" w:leader="none"/>
          <w:tab w:val="left" w:pos="567" w:leader="none"/>
          <w:tab w:val="left" w:pos="851" w:leader="none"/>
        </w:tabs>
        <w:spacing w:lineRule="auto" w:line="240" w:before="0" w:after="0"/>
        <w:ind w:left="567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0" w:leader="none"/>
          <w:tab w:val="left" w:pos="142" w:leader="none"/>
          <w:tab w:val="left" w:pos="567" w:leader="none"/>
          <w:tab w:val="left" w:pos="851" w:leader="none"/>
        </w:tabs>
        <w:spacing w:lineRule="auto" w:line="240" w:before="0"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редактор: МS Word; (поля: нижнее, верхнее, левое - 2 см; правое - 1,5 см); гарнитура: TimesNewRoman, размер кегля 14; междустрочный интервал - 1,5; абзацное отступление - 1 см.</w:t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42" w:leader="none"/>
          <w:tab w:val="left" w:pos="567" w:leader="none"/>
          <w:tab w:val="left" w:pos="851" w:leader="none"/>
        </w:tabs>
        <w:spacing w:lineRule="auto" w:line="240" w:before="0" w:after="0"/>
        <w:ind w:left="567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42" w:leader="none"/>
          <w:tab w:val="left" w:pos="567" w:leader="none"/>
          <w:tab w:val="left" w:pos="851" w:leader="none"/>
        </w:tabs>
        <w:spacing w:lineRule="auto" w:line="240" w:before="0" w:after="0"/>
        <w:ind w:left="567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910"/>
      </w:tblGrid>
      <w:tr>
        <w:trPr/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AF1DD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Cs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>Образец  оформления  тезисов доклада:</w:t>
            </w:r>
          </w:p>
        </w:tc>
      </w:tr>
      <w:tr>
        <w:trPr/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-135" w:leader="none"/>
                <w:tab w:val="left" w:pos="313" w:leader="none"/>
                <w:tab w:val="left" w:pos="969" w:leader="none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Иванов И.И.,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-135" w:leader="none"/>
                <w:tab w:val="left" w:pos="313" w:leader="none"/>
                <w:tab w:val="left" w:pos="969" w:leader="none"/>
              </w:tabs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кандидат педагогических наук, доцент</w:t>
            </w:r>
          </w:p>
          <w:p>
            <w:pPr>
              <w:pStyle w:val="Normal"/>
              <w:widowControl w:val="false"/>
              <w:spacing w:lineRule="auto" w:line="312" w:before="0"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(Азовский государственный педагогический университет)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-135" w:leader="none"/>
                <w:tab w:val="left" w:pos="313" w:leader="none"/>
                <w:tab w:val="left" w:pos="969" w:leader="none"/>
              </w:tabs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-135" w:leader="none"/>
                <w:tab w:val="left" w:pos="313" w:leader="none"/>
                <w:tab w:val="left" w:pos="969" w:leader="none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ПЕДАГОГИЧЕСКОЕ ОБРАЗОВАНИЕ СЕГОДНЯ: НОВЫЕ ВЕКТОРЫ РАЗВИТИЯ И СОЦИАЛЬНО-КУЛЬТУРНЫЕ КОНСТАНТЫ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-135" w:leader="none"/>
                <w:tab w:val="left" w:pos="313" w:leader="none"/>
                <w:tab w:val="left" w:pos="969" w:leader="none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</w:r>
          </w:p>
          <w:p>
            <w:pPr>
              <w:pStyle w:val="NormalIndent"/>
              <w:widowControl w:val="false"/>
              <w:tabs>
                <w:tab w:val="clear" w:pos="567"/>
                <w:tab w:val="left" w:pos="0" w:leader="none"/>
                <w:tab w:val="left" w:pos="5103" w:leader="none"/>
              </w:tabs>
              <w:ind w:left="0" w:firstLine="567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Текст.</w:t>
            </w:r>
          </w:p>
          <w:p>
            <w:pPr>
              <w:pStyle w:val="NormalIndent"/>
              <w:widowControl w:val="false"/>
              <w:tabs>
                <w:tab w:val="clear" w:pos="567"/>
                <w:tab w:val="left" w:pos="0" w:leader="none"/>
                <w:tab w:val="left" w:pos="5103" w:leader="none"/>
              </w:tabs>
              <w:ind w:left="0" w:firstLine="567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Литература</w:t>
            </w:r>
          </w:p>
          <w:p>
            <w:pPr>
              <w:pStyle w:val="Normal"/>
              <w:widowControl w:val="false"/>
              <w:spacing w:lineRule="auto" w:line="247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Белобрыкина О.А., Дроздова А.В. Социально-психологическая адаптация: проблемы измерения (на примере анализа методики К.Р. Роджерса и Р.Ф. Даймонд). Вестник по педагогике и психологии Южной Сибири. №. 2021. Режим доступа: </w:t>
            </w:r>
          </w:p>
          <w:p>
            <w:pPr>
              <w:pStyle w:val="Normal"/>
              <w:widowControl w:val="false"/>
              <w:spacing w:lineRule="auto" w:line="247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https://cyberleninka.ru/article/n/sotsialno-psihologicheskaya-adaptatsiya-problemy-izmereniya-na-primere-analiza-metodiki-k-r-rodzhersa-i-r-f-daymond/viewer  </w:t>
            </w:r>
          </w:p>
          <w:p>
            <w:pPr>
              <w:pStyle w:val="NormalIndent"/>
              <w:widowControl w:val="false"/>
              <w:tabs>
                <w:tab w:val="clear" w:pos="567"/>
                <w:tab w:val="left" w:pos="0" w:leader="none"/>
                <w:tab w:val="left" w:pos="5103" w:leader="none"/>
              </w:tabs>
              <w:ind w:left="0" w:firstLine="567"/>
              <w:rPr>
                <w:b/>
                <w:b/>
                <w:bCs/>
                <w:sz w:val="24"/>
                <w:szCs w:val="24"/>
                <w:lang w:val="ru-RU"/>
              </w:rPr>
            </w:pPr>
            <w:r>
              <w:rPr>
                <w:rFonts w:eastAsia="Calibri"/>
                <w:szCs w:val="28"/>
                <w:lang w:val="ru-RU" w:eastAsia="en-US"/>
              </w:rPr>
              <w:t>2. Большой психологический словарь / Под редакцией Б.Г. Мещерякова, В.П. Зинченко. М.-СПб.: АСТ;  Прайм-Еврознак, 2009. 816 с.</w:t>
            </w:r>
          </w:p>
        </w:tc>
      </w:tr>
    </w:tbl>
    <w:p>
      <w:pPr>
        <w:pStyle w:val="Normal"/>
        <w:jc w:val="right"/>
        <w:rPr>
          <w:rFonts w:ascii="Times New Roman" w:hAnsi="Times New Roman" w:cs="Times New Roman"/>
          <w:b/>
          <w:b/>
          <w:bCs/>
          <w:i/>
          <w:i/>
        </w:rPr>
      </w:pPr>
      <w:r>
        <w:rPr>
          <w:rFonts w:cs="Times New Roman" w:ascii="Times New Roman" w:hAnsi="Times New Roman"/>
          <w:b/>
          <w:bCs/>
          <w:i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9"/>
      <w:type w:val="nextPage"/>
      <w:pgSz w:w="11906" w:h="16838"/>
      <w:pgMar w:left="1276" w:right="720" w:gutter="0" w:header="708" w:top="765" w:footer="0" w:bottom="72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Open Sans">
    <w:charset w:val="01"/>
    <w:family w:val="roman"/>
    <w:pitch w:val="variable"/>
  </w:font>
  <w:font w:name="Wingdings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jc w:val="center"/>
      <w:rPr>
        <w:rFonts w:ascii="Times New Roman" w:hAnsi="Times New Roman" w:cs="Times New Roman"/>
        <w:sz w:val="24"/>
      </w:rPr>
    </w:pPr>
    <w:r>
      <w:rPr>
        <w:rFonts w:cs="Times New Roman" w:ascii="Times New Roman" w:hAnsi="Times New Roman"/>
        <w:sz w:val="24"/>
      </w:rPr>
      <w:fldChar w:fldCharType="begin"/>
    </w:r>
    <w:r>
      <w:rPr>
        <w:sz w:val="24"/>
        <w:rFonts w:cs="Times New Roman" w:ascii="Times New Roman" w:hAnsi="Times New Roman"/>
      </w:rPr>
      <w:instrText xml:space="preserve"> PAGE </w:instrText>
    </w:r>
    <w:r>
      <w:rPr>
        <w:sz w:val="24"/>
        <w:rFonts w:cs="Times New Roman" w:ascii="Times New Roman" w:hAnsi="Times New Roman"/>
      </w:rPr>
      <w:fldChar w:fldCharType="separate"/>
    </w:r>
    <w:r>
      <w:rPr>
        <w:sz w:val="24"/>
        <w:rFonts w:cs="Times New Roman" w:ascii="Times New Roman" w:hAnsi="Times New Roman"/>
      </w:rPr>
      <w:t>5</w:t>
    </w:r>
    <w:r>
      <w:rPr>
        <w:sz w:val="24"/>
        <w:rFonts w:cs="Times New Roman" w:ascii="Times New Roman" w:hAnsi="Times New Roman"/>
      </w:rPr>
      <w:fldChar w:fldCharType="end"/>
    </w:r>
  </w:p>
  <w:p>
    <w:pPr>
      <w:pStyle w:val="Style2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73054"/>
    <w:pPr>
      <w:widowControl/>
      <w:suppressAutoHyphens w:val="true"/>
      <w:bidi w:val="0"/>
      <w:spacing w:lineRule="auto" w:line="276" w:before="0" w:after="200"/>
      <w:jc w:val="left"/>
    </w:pPr>
    <w:rPr>
      <w:rFonts w:cs="SimSun" w:ascii="Calibri" w:hAnsi="Calibri" w:eastAsia="Calibri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Знак"/>
    <w:basedOn w:val="DefaultParagraphFont"/>
    <w:qFormat/>
    <w:rsid w:val="00373054"/>
    <w:rPr>
      <w:rFonts w:ascii="Times New Roman" w:hAnsi="Times New Roman" w:eastAsia="Times New Roman" w:cs="Times New Roman"/>
      <w:spacing w:val="20"/>
      <w:sz w:val="28"/>
      <w:szCs w:val="24"/>
      <w:lang w:val="en-CA" w:eastAsia="ru-RU"/>
    </w:rPr>
  </w:style>
  <w:style w:type="character" w:styleId="Style15" w:customStyle="1">
    <w:name w:val="Верхний колонтитул Знак"/>
    <w:basedOn w:val="DefaultParagraphFont"/>
    <w:uiPriority w:val="99"/>
    <w:qFormat/>
    <w:rsid w:val="00373054"/>
    <w:rPr>
      <w:rFonts w:ascii="Calibri" w:hAnsi="Calibri" w:eastAsia="Calibri" w:cs="SimSun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714bbf"/>
    <w:rPr>
      <w:rFonts w:ascii="Segoe UI" w:hAnsi="Segoe UI" w:eastAsia="Calibri" w:cs="Segoe UI"/>
      <w:sz w:val="18"/>
      <w:szCs w:val="18"/>
    </w:rPr>
  </w:style>
  <w:style w:type="paragraph" w:styleId="Style17" w:customStyle="1">
    <w:name w:val="Заголовок"/>
    <w:basedOn w:val="Normal"/>
    <w:next w:val="Style18"/>
    <w:qFormat/>
    <w:rsid w:val="00947074"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8">
    <w:name w:val="Body Text"/>
    <w:basedOn w:val="Normal"/>
    <w:link w:val="Style14"/>
    <w:rsid w:val="00373054"/>
    <w:pPr>
      <w:spacing w:lineRule="auto" w:line="360" w:before="0" w:after="0"/>
      <w:ind w:firstLine="567"/>
    </w:pPr>
    <w:rPr>
      <w:rFonts w:ascii="Times New Roman" w:hAnsi="Times New Roman" w:eastAsia="Times New Roman" w:cs="Times New Roman"/>
      <w:spacing w:val="20"/>
      <w:sz w:val="28"/>
      <w:szCs w:val="24"/>
      <w:lang w:val="en-CA" w:eastAsia="ru-RU"/>
    </w:rPr>
  </w:style>
  <w:style w:type="paragraph" w:styleId="Style19">
    <w:name w:val="List"/>
    <w:basedOn w:val="Style18"/>
    <w:rsid w:val="00947074"/>
    <w:pPr/>
    <w:rPr>
      <w:rFonts w:cs="Lohit Devanagari"/>
    </w:rPr>
  </w:style>
  <w:style w:type="paragraph" w:styleId="Style20" w:customStyle="1">
    <w:name w:val="Caption"/>
    <w:basedOn w:val="Normal"/>
    <w:qFormat/>
    <w:rsid w:val="00947074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Indexheading">
    <w:name w:val="index heading"/>
    <w:basedOn w:val="Normal"/>
    <w:qFormat/>
    <w:rsid w:val="00947074"/>
    <w:pPr>
      <w:suppressLineNumbers/>
    </w:pPr>
    <w:rPr>
      <w:rFonts w:cs="Lohit Devanagari"/>
    </w:rPr>
  </w:style>
  <w:style w:type="paragraph" w:styleId="NormalIndent">
    <w:name w:val="Normal Indent"/>
    <w:basedOn w:val="Normal"/>
    <w:qFormat/>
    <w:rsid w:val="00373054"/>
    <w:pPr>
      <w:tabs>
        <w:tab w:val="clear" w:pos="708"/>
        <w:tab w:val="left" w:pos="567" w:leader="none"/>
      </w:tabs>
      <w:spacing w:lineRule="auto" w:line="240" w:before="0" w:after="0"/>
      <w:ind w:left="720" w:hanging="0"/>
      <w:jc w:val="both"/>
    </w:pPr>
    <w:rPr>
      <w:rFonts w:ascii="Times New Roman" w:hAnsi="Times New Roman" w:eastAsia="Times New Roman" w:cs="Times New Roman"/>
      <w:sz w:val="28"/>
      <w:szCs w:val="20"/>
      <w:lang w:val="uk-UA" w:eastAsia="ru-RU"/>
    </w:rPr>
  </w:style>
  <w:style w:type="paragraph" w:styleId="Style22" w:customStyle="1">
    <w:name w:val="Колонтитул"/>
    <w:basedOn w:val="Normal"/>
    <w:qFormat/>
    <w:rsid w:val="00947074"/>
    <w:pPr/>
    <w:rPr/>
  </w:style>
  <w:style w:type="paragraph" w:styleId="Style23" w:customStyle="1">
    <w:name w:val="Header"/>
    <w:basedOn w:val="Normal"/>
    <w:link w:val="Style15"/>
    <w:uiPriority w:val="99"/>
    <w:unhideWhenUsed/>
    <w:rsid w:val="0037305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373054"/>
    <w:pPr>
      <w:widowControl/>
      <w:suppressAutoHyphens w:val="true"/>
      <w:bidi w:val="0"/>
      <w:spacing w:before="0" w:after="0"/>
      <w:jc w:val="left"/>
    </w:pPr>
    <w:rPr>
      <w:rFonts w:cs="SimSun" w:ascii="Calibri" w:hAnsi="Calibri" w:eastAsia="Calibri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ae27d7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714bb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2.wmf"/><Relationship Id="rId6" Type="http://schemas.openxmlformats.org/officeDocument/2006/relationships/oleObject" Target="embeddings/oleObject3.bin"/><Relationship Id="rId7" Type="http://schemas.openxmlformats.org/officeDocument/2006/relationships/image" Target="media/image3.wmf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LibreOffice/7.4.4.2$Linux_X86_64 LibreOffice_project/40$Build-2</Application>
  <AppVersion>15.0000</AppVersion>
  <Pages>5</Pages>
  <Words>716</Words>
  <Characters>5847</Characters>
  <CharactersWithSpaces>6551</CharactersWithSpaces>
  <Paragraphs>63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2023-07-26T10:22:00Z</dcterms:created>
  <dc:creator>TSS</dc:creator>
  <dc:description/>
  <dc:language>ru-RU</dc:language>
  <cp:lastModifiedBy/>
  <cp:lastPrinted>2023-07-26T10:30:00Z</cp:lastPrinted>
  <dcterms:modified xsi:type="dcterms:W3CDTF">2023-07-28T09:59:41Z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